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9D" w:rsidRDefault="00D4719D" w:rsidP="00D4719D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>Информационно-аналитическая записка о работе с обращениями граждан</w:t>
      </w:r>
    </w:p>
    <w:p w:rsidR="00D4719D" w:rsidRDefault="00D4719D" w:rsidP="00D4719D">
      <w:pPr>
        <w:pStyle w:val="2"/>
        <w:rPr>
          <w:b/>
          <w:bCs/>
          <w:sz w:val="27"/>
        </w:rPr>
      </w:pPr>
      <w:r>
        <w:rPr>
          <w:b/>
          <w:bCs/>
          <w:sz w:val="27"/>
        </w:rPr>
        <w:t xml:space="preserve">в администрации Бердюжского муниципального района  </w:t>
      </w:r>
    </w:p>
    <w:p w:rsidR="00D4719D" w:rsidRDefault="00D4719D" w:rsidP="00D4719D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в 1 квартале 2016 года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D4719D" w:rsidRDefault="00D4719D" w:rsidP="00D4719D">
      <w:pPr>
        <w:jc w:val="both"/>
        <w:rPr>
          <w:sz w:val="27"/>
        </w:rPr>
      </w:pP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 В 1 квартале 2016 г. в администрацию Бердюжского муниципального района поступило </w:t>
      </w:r>
      <w:r>
        <w:rPr>
          <w:b/>
          <w:bCs/>
          <w:sz w:val="27"/>
        </w:rPr>
        <w:t xml:space="preserve">173  </w:t>
      </w:r>
      <w:r>
        <w:rPr>
          <w:sz w:val="27"/>
        </w:rPr>
        <w:t>письменных</w:t>
      </w:r>
      <w:r>
        <w:rPr>
          <w:b/>
          <w:bCs/>
          <w:sz w:val="27"/>
        </w:rPr>
        <w:t xml:space="preserve"> </w:t>
      </w:r>
      <w:r>
        <w:rPr>
          <w:sz w:val="27"/>
        </w:rPr>
        <w:t xml:space="preserve">обращений граждан, что на </w:t>
      </w:r>
      <w:r>
        <w:rPr>
          <w:b/>
          <w:bCs/>
          <w:sz w:val="27"/>
        </w:rPr>
        <w:t xml:space="preserve">62 </w:t>
      </w:r>
      <w:r>
        <w:rPr>
          <w:sz w:val="27"/>
        </w:rPr>
        <w:t>обращения меньше по сравнению с 4 кварталом 2015 года (</w:t>
      </w:r>
      <w:r>
        <w:rPr>
          <w:b/>
          <w:bCs/>
          <w:sz w:val="27"/>
        </w:rPr>
        <w:t>235</w:t>
      </w:r>
      <w:r>
        <w:rPr>
          <w:sz w:val="27"/>
        </w:rPr>
        <w:t>).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Из вышестоящих органов поступило </w:t>
      </w:r>
      <w:r>
        <w:rPr>
          <w:b/>
          <w:bCs/>
          <w:sz w:val="27"/>
        </w:rPr>
        <w:t>18</w:t>
      </w:r>
      <w:r>
        <w:rPr>
          <w:sz w:val="27"/>
        </w:rPr>
        <w:t xml:space="preserve"> обращения, это на </w:t>
      </w:r>
      <w:r>
        <w:rPr>
          <w:b/>
          <w:bCs/>
          <w:sz w:val="27"/>
        </w:rPr>
        <w:t>4</w:t>
      </w:r>
      <w:r>
        <w:rPr>
          <w:sz w:val="27"/>
        </w:rPr>
        <w:t xml:space="preserve"> обращения меньше, чем в 4 кв. 2015 года. Обращения в администрацию поступают из Администрации Президента РФ, аппарата Губернатора Тюменской области.</w:t>
      </w:r>
    </w:p>
    <w:p w:rsidR="00D4719D" w:rsidRDefault="00D4719D" w:rsidP="00D4719D">
      <w:pPr>
        <w:pStyle w:val="21"/>
        <w:rPr>
          <w:sz w:val="27"/>
        </w:rPr>
      </w:pPr>
      <w:r>
        <w:rPr>
          <w:sz w:val="27"/>
        </w:rPr>
        <w:t xml:space="preserve">      Поступающие обращения граждан - это в основном заявления, так же как и </w:t>
      </w:r>
      <w:proofErr w:type="gramStart"/>
      <w:r>
        <w:rPr>
          <w:sz w:val="27"/>
        </w:rPr>
        <w:t>в</w:t>
      </w:r>
      <w:proofErr w:type="gramEnd"/>
      <w:r>
        <w:rPr>
          <w:sz w:val="27"/>
        </w:rPr>
        <w:t xml:space="preserve"> </w:t>
      </w:r>
      <w:proofErr w:type="gramStart"/>
      <w:r>
        <w:rPr>
          <w:sz w:val="27"/>
        </w:rPr>
        <w:t>за</w:t>
      </w:r>
      <w:proofErr w:type="gramEnd"/>
      <w:r>
        <w:rPr>
          <w:sz w:val="27"/>
        </w:rPr>
        <w:t xml:space="preserve"> предыдущий период, о решении какой-либо проблемы, но поступило 2  обращения,  содержащих жалобу, от жителей с. Бердюжье – на деятельность ОМСУ и его руководителей.</w:t>
      </w:r>
    </w:p>
    <w:p w:rsidR="00D4719D" w:rsidRDefault="00D4719D" w:rsidP="00D4719D">
      <w:pPr>
        <w:jc w:val="both"/>
        <w:rPr>
          <w:sz w:val="27"/>
        </w:rPr>
      </w:pPr>
    </w:p>
    <w:p w:rsidR="00D4719D" w:rsidRDefault="00D4719D" w:rsidP="00D4719D">
      <w:pPr>
        <w:jc w:val="both"/>
        <w:rPr>
          <w:sz w:val="27"/>
        </w:rPr>
      </w:pPr>
    </w:p>
    <w:p w:rsidR="00D4719D" w:rsidRDefault="00D4719D" w:rsidP="00D4719D">
      <w:pPr>
        <w:ind w:left="360"/>
        <w:jc w:val="both"/>
        <w:rPr>
          <w:sz w:val="27"/>
        </w:rPr>
      </w:pP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О</w:t>
      </w:r>
      <w:r>
        <w:rPr>
          <w:sz w:val="27"/>
          <w:szCs w:val="28"/>
        </w:rPr>
        <w:t xml:space="preserve">сновной проблемой, с которой граждане обращались  в администрацию по- </w:t>
      </w:r>
      <w:proofErr w:type="gramStart"/>
      <w:r>
        <w:rPr>
          <w:sz w:val="27"/>
          <w:szCs w:val="28"/>
        </w:rPr>
        <w:t>прежнему</w:t>
      </w:r>
      <w:proofErr w:type="gramEnd"/>
      <w:r>
        <w:rPr>
          <w:sz w:val="27"/>
          <w:szCs w:val="28"/>
        </w:rPr>
        <w:t xml:space="preserve"> остается проблема предоставления жилья,  улучшения  жилищных условий, уточнения сроков переселения из ветхого жилого фонда. Кроме жилищных  вопросов обращались с просьбами о комиссионном обследовании домов на предмет признания их аварийными, оформлении земельных участков, благоустройстве придомовых территорий, ремонте жилых домов, предоставлении земельных участков в аренду и собственность, оказании материальной помощи. </w:t>
      </w:r>
      <w:r>
        <w:rPr>
          <w:sz w:val="28"/>
          <w:szCs w:val="28"/>
        </w:rPr>
        <w:t xml:space="preserve"> </w:t>
      </w:r>
      <w:r>
        <w:rPr>
          <w:sz w:val="27"/>
        </w:rPr>
        <w:t xml:space="preserve">  </w:t>
      </w:r>
      <w:proofErr w:type="gramStart"/>
      <w:r>
        <w:rPr>
          <w:sz w:val="27"/>
        </w:rPr>
        <w:t>Причиной увеличения количества обращений о предоставлении жилья по-прежнему, как и в 4 кв. 2016 г. связано со строительством 57-квартирного жилого дома в с. Бердюжье и распределением в нем квартир.</w:t>
      </w:r>
      <w:proofErr w:type="gramEnd"/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  Большое количество 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производства земляных работ, согласования  проектно-сметной документации. Значительное число обращений по вопросу обследования  технического состояния  жилого помещения с целью оказания помощи в проведении ремонта и (или) постановки на учет нуждающихся в улучшении жилищных условий.</w:t>
      </w:r>
    </w:p>
    <w:p w:rsidR="00D4719D" w:rsidRDefault="00D4719D" w:rsidP="00D4719D">
      <w:pPr>
        <w:jc w:val="both"/>
        <w:rPr>
          <w:sz w:val="27"/>
        </w:rPr>
      </w:pPr>
      <w:r>
        <w:t xml:space="preserve">     </w:t>
      </w:r>
      <w:r>
        <w:rPr>
          <w:sz w:val="27"/>
        </w:rPr>
        <w:t xml:space="preserve">Поступают обращения, связанные с вопросами землепользования. Это выделение земельных участков, в том числе для многодетных семей, передача в собственность при фактическом владении, установление права пользования земельным участком. Возникают спорные вопросы по границам земельных участков при застройке.      </w:t>
      </w:r>
    </w:p>
    <w:p w:rsidR="00D4719D" w:rsidRDefault="00D4719D" w:rsidP="00D4719D">
      <w:pPr>
        <w:numPr>
          <w:ilvl w:val="0"/>
          <w:numId w:val="1"/>
        </w:numPr>
        <w:jc w:val="both"/>
        <w:rPr>
          <w:sz w:val="27"/>
        </w:rPr>
      </w:pPr>
      <w:r>
        <w:rPr>
          <w:sz w:val="27"/>
        </w:rPr>
        <w:t xml:space="preserve">      Поступают обращения, касающиеся коммунального и дорожного хозяйства: ремонт  дорог, проведение водопроводов, проблемы водоснабжения, содействие в подведении инженерных коммуникаций 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lastRenderedPageBreak/>
        <w:t xml:space="preserve">      В 1 квартале 2016 года в администрацию поступило 3 коллективных обращения граждан, это на 1 обращение больше по сравнению с 4 кв. 2015 г.</w:t>
      </w:r>
    </w:p>
    <w:p w:rsidR="00D4719D" w:rsidRDefault="00D4719D" w:rsidP="00D4719D">
      <w:pPr>
        <w:pStyle w:val="21"/>
        <w:rPr>
          <w:sz w:val="27"/>
        </w:rPr>
      </w:pPr>
      <w:r>
        <w:rPr>
          <w:sz w:val="27"/>
        </w:rPr>
        <w:t xml:space="preserve">       В 1 квартале 2016 года в администрацию поступило 2 </w:t>
      </w:r>
      <w:proofErr w:type="gramStart"/>
      <w:r>
        <w:rPr>
          <w:sz w:val="27"/>
        </w:rPr>
        <w:t>повторных</w:t>
      </w:r>
      <w:proofErr w:type="gramEnd"/>
      <w:r>
        <w:rPr>
          <w:sz w:val="27"/>
        </w:rPr>
        <w:t xml:space="preserve"> обращения. Это обращения о переселении</w:t>
      </w:r>
      <w:bookmarkStart w:id="0" w:name="_GoBack"/>
      <w:bookmarkEnd w:id="0"/>
      <w:r>
        <w:rPr>
          <w:sz w:val="27"/>
        </w:rPr>
        <w:t>, о разъяснении вопросов реализации Программы «Доступное жилье в регионах».</w:t>
      </w:r>
    </w:p>
    <w:p w:rsidR="00D4719D" w:rsidRDefault="00D4719D" w:rsidP="00D4719D">
      <w:pPr>
        <w:jc w:val="both"/>
        <w:rPr>
          <w:b/>
          <w:bCs/>
          <w:sz w:val="27"/>
        </w:rPr>
      </w:pPr>
      <w:r>
        <w:rPr>
          <w:sz w:val="27"/>
        </w:rPr>
        <w:t xml:space="preserve">       Все обращения, поступившие в администрацию, рассмотрены главой, на контроль поставлено-</w:t>
      </w:r>
      <w:r>
        <w:rPr>
          <w:b/>
          <w:bCs/>
          <w:sz w:val="27"/>
        </w:rPr>
        <w:t>37 (21,4%)</w:t>
      </w:r>
      <w:r>
        <w:rPr>
          <w:sz w:val="27"/>
        </w:rPr>
        <w:t xml:space="preserve">. В 4 квартале 2015 года на контроль было поставлено </w:t>
      </w:r>
      <w:r>
        <w:rPr>
          <w:b/>
          <w:bCs/>
          <w:sz w:val="27"/>
        </w:rPr>
        <w:t>19.08%.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 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Поступившие обращения рассматриваются  в установленные законодательством сроки. Нарушения сроков рассмотрения  не было отмечено.     </w:t>
      </w:r>
    </w:p>
    <w:p w:rsidR="00D4719D" w:rsidRDefault="00D4719D" w:rsidP="00D4719D">
      <w:pPr>
        <w:pStyle w:val="21"/>
        <w:rPr>
          <w:sz w:val="27"/>
        </w:rPr>
      </w:pPr>
      <w:r>
        <w:rPr>
          <w:sz w:val="27"/>
        </w:rPr>
        <w:t xml:space="preserve">      В результате рассмотрения  доля </w:t>
      </w:r>
    </w:p>
    <w:p w:rsidR="00D4719D" w:rsidRDefault="00D4719D" w:rsidP="00D4719D">
      <w:pPr>
        <w:pStyle w:val="21"/>
        <w:rPr>
          <w:b/>
          <w:bCs/>
          <w:sz w:val="27"/>
        </w:rPr>
      </w:pPr>
      <w:r>
        <w:rPr>
          <w:sz w:val="27"/>
        </w:rPr>
        <w:t xml:space="preserve">   положительны</w:t>
      </w:r>
      <w:r>
        <w:rPr>
          <w:b/>
          <w:bCs/>
          <w:sz w:val="27"/>
        </w:rPr>
        <w:t>х</w:t>
      </w:r>
      <w:r>
        <w:rPr>
          <w:sz w:val="27"/>
        </w:rPr>
        <w:t xml:space="preserve"> решени</w:t>
      </w:r>
      <w:proofErr w:type="gramStart"/>
      <w:r>
        <w:rPr>
          <w:sz w:val="27"/>
        </w:rPr>
        <w:t>й-</w:t>
      </w:r>
      <w:proofErr w:type="gramEnd"/>
      <w:r>
        <w:rPr>
          <w:sz w:val="27"/>
        </w:rPr>
        <w:t xml:space="preserve"> поддержано составила-   </w:t>
      </w:r>
      <w:r>
        <w:rPr>
          <w:b/>
          <w:bCs/>
          <w:sz w:val="27"/>
        </w:rPr>
        <w:t>2 (5,4%)</w:t>
      </w:r>
    </w:p>
    <w:p w:rsidR="00D4719D" w:rsidRDefault="00D4719D" w:rsidP="00D4719D">
      <w:pPr>
        <w:pStyle w:val="21"/>
        <w:rPr>
          <w:b/>
          <w:bCs/>
          <w:sz w:val="27"/>
        </w:rPr>
      </w:pPr>
      <w:r>
        <w:rPr>
          <w:sz w:val="27"/>
        </w:rPr>
        <w:t xml:space="preserve">   разъяснено- </w:t>
      </w:r>
      <w:r>
        <w:rPr>
          <w:b/>
          <w:bCs/>
          <w:sz w:val="27"/>
        </w:rPr>
        <w:t>25 (72,9%)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не поддержано- 3</w:t>
      </w:r>
      <w:r>
        <w:rPr>
          <w:b/>
          <w:bCs/>
          <w:sz w:val="27"/>
        </w:rPr>
        <w:t xml:space="preserve"> (8,1%)</w:t>
      </w:r>
    </w:p>
    <w:p w:rsidR="00D4719D" w:rsidRDefault="00D4719D" w:rsidP="00D4719D">
      <w:pPr>
        <w:jc w:val="both"/>
        <w:rPr>
          <w:b/>
          <w:bCs/>
          <w:sz w:val="27"/>
        </w:rPr>
      </w:pPr>
      <w:r>
        <w:rPr>
          <w:sz w:val="27"/>
        </w:rPr>
        <w:t xml:space="preserve">   находится на рассмотрении- </w:t>
      </w:r>
      <w:r>
        <w:rPr>
          <w:b/>
          <w:bCs/>
          <w:sz w:val="27"/>
        </w:rPr>
        <w:t>7(18,9%)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 </w:t>
      </w:r>
    </w:p>
    <w:p w:rsidR="00D4719D" w:rsidRDefault="00D4719D" w:rsidP="00D4719D">
      <w:pPr>
        <w:jc w:val="both"/>
        <w:rPr>
          <w:sz w:val="27"/>
        </w:rPr>
      </w:pPr>
      <w:r>
        <w:rPr>
          <w:sz w:val="27"/>
        </w:rPr>
        <w:t xml:space="preserve">     Анализируя процент положительных решений, можно отметить, что доля их в 1 квартале 2016 года уменьшилась по сравнению с 4 кв. 2015 года: </w:t>
      </w:r>
      <w:r>
        <w:rPr>
          <w:b/>
          <w:bCs/>
          <w:sz w:val="27"/>
        </w:rPr>
        <w:t>2015 г.-12,7%, 2016 г.-5,4 %</w:t>
      </w:r>
      <w:r>
        <w:rPr>
          <w:sz w:val="27"/>
        </w:rPr>
        <w:t>.</w:t>
      </w:r>
    </w:p>
    <w:p w:rsidR="00D4719D" w:rsidRDefault="00D4719D" w:rsidP="00D4719D">
      <w:pPr>
        <w:jc w:val="both"/>
        <w:rPr>
          <w:b/>
          <w:bCs/>
          <w:sz w:val="27"/>
        </w:rPr>
      </w:pPr>
      <w:r>
        <w:rPr>
          <w:sz w:val="27"/>
        </w:rPr>
        <w:t xml:space="preserve">      Процент обращений,  по которым даны </w:t>
      </w:r>
      <w:r>
        <w:rPr>
          <w:b/>
          <w:bCs/>
          <w:sz w:val="27"/>
        </w:rPr>
        <w:t>разъяснения</w:t>
      </w:r>
      <w:r>
        <w:rPr>
          <w:sz w:val="27"/>
        </w:rPr>
        <w:t xml:space="preserve">, достаточно высок- </w:t>
      </w:r>
      <w:r>
        <w:rPr>
          <w:b/>
          <w:bCs/>
          <w:sz w:val="27"/>
        </w:rPr>
        <w:t>72,9 %</w:t>
      </w:r>
      <w:r>
        <w:rPr>
          <w:sz w:val="27"/>
        </w:rPr>
        <w:t>, так же, как и в 4 кв. 2015 г. (</w:t>
      </w:r>
      <w:r>
        <w:rPr>
          <w:b/>
          <w:bCs/>
          <w:sz w:val="27"/>
        </w:rPr>
        <w:t>72,3%),</w:t>
      </w:r>
      <w:r>
        <w:rPr>
          <w:sz w:val="27"/>
        </w:rPr>
        <w:t xml:space="preserve">  </w:t>
      </w:r>
      <w:r>
        <w:rPr>
          <w:b/>
          <w:bCs/>
          <w:sz w:val="27"/>
        </w:rPr>
        <w:t xml:space="preserve">не поддержано-8,1%, </w:t>
      </w:r>
      <w:r>
        <w:rPr>
          <w:sz w:val="27"/>
        </w:rPr>
        <w:t>в 2015 г</w:t>
      </w:r>
      <w:r>
        <w:rPr>
          <w:b/>
          <w:bCs/>
          <w:sz w:val="27"/>
        </w:rPr>
        <w:t>. –10,6%.</w:t>
      </w:r>
    </w:p>
    <w:p w:rsidR="00D4719D" w:rsidRDefault="00D4719D" w:rsidP="00D4719D">
      <w:pPr>
        <w:jc w:val="both"/>
        <w:rPr>
          <w:b/>
          <w:bCs/>
          <w:sz w:val="27"/>
        </w:rPr>
      </w:pPr>
      <w:r>
        <w:rPr>
          <w:b/>
          <w:bCs/>
          <w:sz w:val="27"/>
        </w:rPr>
        <w:t xml:space="preserve">      </w:t>
      </w:r>
    </w:p>
    <w:p w:rsidR="00D4719D" w:rsidRDefault="00D4719D" w:rsidP="00D4719D">
      <w:pPr>
        <w:pStyle w:val="a3"/>
        <w:jc w:val="both"/>
        <w:rPr>
          <w:rFonts w:ascii="Times New Roman" w:hAnsi="Times New Roman" w:cs="Times New Roman"/>
          <w:sz w:val="27"/>
          <w:szCs w:val="18"/>
        </w:rPr>
      </w:pPr>
      <w:r>
        <w:rPr>
          <w:rFonts w:ascii="Times New Roman" w:hAnsi="Times New Roman" w:cs="Times New Roman"/>
          <w:b/>
          <w:bCs/>
          <w:color w:val="4F4F4F"/>
          <w:sz w:val="27"/>
          <w:szCs w:val="18"/>
        </w:rPr>
        <w:t xml:space="preserve">        </w:t>
      </w:r>
      <w:r>
        <w:rPr>
          <w:rFonts w:ascii="Times New Roman" w:hAnsi="Times New Roman" w:cs="Times New Roman"/>
          <w:sz w:val="27"/>
          <w:szCs w:val="18"/>
        </w:rPr>
        <w:t>В целях  выявления причин  повышенной активности населения, по общему  количеству  вопросов, содержащихся в обращениях, поступивших в 1 квартале  201</w:t>
      </w:r>
      <w:r w:rsidR="008C4444">
        <w:rPr>
          <w:rFonts w:ascii="Times New Roman" w:hAnsi="Times New Roman" w:cs="Times New Roman"/>
          <w:sz w:val="27"/>
          <w:szCs w:val="18"/>
        </w:rPr>
        <w:t>6</w:t>
      </w:r>
      <w:r>
        <w:rPr>
          <w:rFonts w:ascii="Times New Roman" w:hAnsi="Times New Roman" w:cs="Times New Roman"/>
          <w:sz w:val="27"/>
          <w:szCs w:val="18"/>
        </w:rPr>
        <w:t xml:space="preserve"> года,  определены  вопросы соответствующих наименований  тематических  разделов. Повышенная активность  населения по общему количеству вопросов отмечена в основном по двум основным тематическим разделам «Экономика» и «Жилищно-коммунальная  сфера».</w:t>
      </w:r>
    </w:p>
    <w:p w:rsidR="00D4719D" w:rsidRDefault="00D4719D" w:rsidP="00D4719D">
      <w:pPr>
        <w:jc w:val="both"/>
        <w:rPr>
          <w:sz w:val="27"/>
        </w:rPr>
      </w:pPr>
    </w:p>
    <w:p w:rsidR="00D4719D" w:rsidRDefault="00D4719D" w:rsidP="00D4719D">
      <w:pPr>
        <w:jc w:val="both"/>
        <w:rPr>
          <w:sz w:val="27"/>
        </w:rPr>
      </w:pPr>
    </w:p>
    <w:p w:rsidR="00D4719D" w:rsidRDefault="00D4719D" w:rsidP="00D4719D">
      <w:pPr>
        <w:jc w:val="both"/>
        <w:rPr>
          <w:sz w:val="27"/>
        </w:rPr>
      </w:pPr>
    </w:p>
    <w:p w:rsidR="00D4719D" w:rsidRDefault="00D4719D" w:rsidP="00D4719D">
      <w:pPr>
        <w:jc w:val="both"/>
        <w:rPr>
          <w:sz w:val="27"/>
        </w:rPr>
      </w:pPr>
    </w:p>
    <w:p w:rsidR="00E1361D" w:rsidRDefault="00E1361D"/>
    <w:sectPr w:rsidR="00E13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726CF"/>
    <w:multiLevelType w:val="hybridMultilevel"/>
    <w:tmpl w:val="E32A6082"/>
    <w:lvl w:ilvl="0" w:tplc="717AF5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89"/>
    <w:rsid w:val="006C4489"/>
    <w:rsid w:val="008C4444"/>
    <w:rsid w:val="00D4719D"/>
    <w:rsid w:val="00E1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4719D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471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D4719D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D4719D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D4719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4719D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471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D4719D"/>
    <w:pPr>
      <w:spacing w:after="240"/>
    </w:pPr>
    <w:rPr>
      <w:rFonts w:ascii="Arial Unicode MS" w:eastAsia="Arial Unicode MS" w:hAnsi="Arial Unicode MS" w:cs="Arial Unicode MS"/>
    </w:rPr>
  </w:style>
  <w:style w:type="paragraph" w:styleId="21">
    <w:name w:val="Body Text 2"/>
    <w:basedOn w:val="a"/>
    <w:link w:val="22"/>
    <w:semiHidden/>
    <w:unhideWhenUsed/>
    <w:rsid w:val="00D4719D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D4719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7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Холодкова Ольга Владимировна</dc:creator>
  <cp:keywords/>
  <dc:description/>
  <cp:lastModifiedBy>Холодкова Ольга Владимировна</cp:lastModifiedBy>
  <cp:revision>5</cp:revision>
  <dcterms:created xsi:type="dcterms:W3CDTF">2018-07-16T07:13:00Z</dcterms:created>
  <dcterms:modified xsi:type="dcterms:W3CDTF">2018-07-16T07:35:00Z</dcterms:modified>
</cp:coreProperties>
</file>