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FA2" w:rsidRPr="00DE5FA2" w:rsidRDefault="00DE5FA2" w:rsidP="00DE5FA2">
      <w:pPr>
        <w:pBdr>
          <w:bottom w:val="single" w:sz="6" w:space="7" w:color="DADBDA"/>
        </w:pBdr>
        <w:shd w:val="clear" w:color="auto" w:fill="FFFFFF"/>
        <w:spacing w:after="300" w:line="240" w:lineRule="auto"/>
        <w:outlineLvl w:val="0"/>
        <w:rPr>
          <w:rFonts w:ascii="Arial" w:eastAsia="Times New Roman" w:hAnsi="Arial" w:cs="Arial"/>
          <w:color w:val="000000"/>
          <w:kern w:val="36"/>
          <w:sz w:val="40"/>
          <w:szCs w:val="40"/>
          <w:lang w:eastAsia="ru-RU"/>
        </w:rPr>
      </w:pPr>
      <w:r w:rsidRPr="00DE5FA2">
        <w:rPr>
          <w:rFonts w:ascii="Arial" w:eastAsia="Times New Roman" w:hAnsi="Arial" w:cs="Arial"/>
          <w:color w:val="000000"/>
          <w:kern w:val="36"/>
          <w:sz w:val="40"/>
          <w:szCs w:val="40"/>
          <w:lang w:eastAsia="ru-RU"/>
        </w:rPr>
        <w:t>Пояснительная записка по итогам социально-экономического развития Бердюжского муниципального района за январь-сентябрь 2016 года</w:t>
      </w:r>
    </w:p>
    <w:p w:rsid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bookmarkStart w:id="0" w:name="_GoBack"/>
      <w:bookmarkEnd w:id="0"/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Промышленность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Общий объем промышленного производства за 9 месяцев 2016 года составил 524,88 млн. руб. или 122% к соответствующему периоду прошлого года, в том числе объем производства пищевой промышленности составил 454, 99млн. руб., что выше уровня прошлого года на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29,3%.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составе промышленной отрасли района представлены основные виды производств, необходимые для жизнеобеспечения населения. Наибольший удельный вес в структуре промышленного производства занимают: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пищевая промышленность – 87%;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производство и распределение электроэнергии, газа и воды – 12%;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лесная промышленность – 1% — представлена заготовкой деловой древесины, дров, производство пиломатериалов.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ООО «Молоко» объем производства цельномолочной продукции за 9 месяцев 2016 года к соответствующему периоду прошлого года увеличился на 15%, и составил 8719,2 тонн. Объем производства масла сливочного составил 74,2 тонн (рост к уровню 2015 года – 14,3%), сыра 107,2 тонн и 123% к соответствующему периоду 2015 года).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Производством муки, размолом зерна в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Бердюжском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муниципальном районе занимается ООО ТПП «Спектр». Предприятием произведено муки (первого, второго и высшего сортов) 1783,4 тонн., или 116,8% к уровню прошлого года.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Предприятия, занимающиеся производством хлеба и хлебобулочных изделий, за 9 месяцев 2016 года произвели 523,56 тонн, это на 16,7% больше, чем в рассматриваемом периоде 2015 года.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Объем производства мяса и субпродуктов 1,2 категории ООО СПСПК «Энергия», составил 154,2 тонн, что на 15,7% больше уровня соответствующего периода прошлого года. Данное предприятие обеспечивает мясной продукцией учреждения социальной сферы Бердюжского района (детские сады, школы). Также организованы поставки за пределы Бердюжского района.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Производством мягких сортов сыра в районе занимаются ИП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Сехниаидзе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Д. И., ИП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Соленик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Н. В., ООО «Молоко». В сравнении с прошлым годом объем производства сыра за 9 месяцев 2016 года увеличился на 15,9% и составил 172,8 тонн.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структуре производства пищевой промышленности Бердюжского района наибольшую долю занимает производство цельномолочной продукции – 66%, мясо и субпродукты – 7,2%, сыры рассольные – 8,9%, производство муки – 6,4%, производство масла – 6%; хлеб и хлебобулочные изделия – 4,4% (рыбной продукции 0,3%, производство кондитерских изделий составляет 0,3%, рыбной продукции 0,3%, крупы 0,5%).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Сельское хозяйство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На 01.10.2016 года в структуре хозяйствующих субъектов агропромышленного комплекса Бердюжского района работает 7 сельскохозяйственных производственных кооперативов, 3 общества с ограниченной ответственностью, занимающихся сельскохозяйственным производством, 3 общества с ограниченной ответственностью, занимающихся переработкой, 1 колхоз, 25 индивидуальных предпринимателей, занимающихся сельским хозяйством, 5 потребительских кооперативов и 1 кредитный кооператив.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Производство основных видов продукции животноводства в районе за 9 месяцев 2016 года снизилось по мясу (в живом весе) на 14,8% – 1039,0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(1219,0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– 2015г.), увеличилось по молоку на 9,1% – 5315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(4871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– 2015г.), производство яиц осталось на уровне прошлого года – 3,0 млн. шт. Сохранение поголовья крупного рогатого скота и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свинопоголовья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хозяйствах всех категорий района повлекло за собой снижение объемов производства мяса, но положительно отразилось на производстве молока. Поголовье КРС осталось на уровне прошлого года и составило 4259 голов (4277 голов — 2015 год), коров незначительно увеличилось на 1,6% – 1680 голов (1653 головы — 2015 год), свиней увеличилось на 2,5% – 5464 (5330 голов — 2015 год).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сельскохозяйственных предприятиях производство мяса увеличилось на 26,5% и составило 62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(2015г. – 49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). Рост производства мяса происходит за счет выбраковки стада с целью обновления поголовья. Производство молока увеличилось к уровню прошлого года на 7,4% и составило 1845 тонн (1718 тн-2015г.)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Продуктивность коров в с/х предприятиях за 9 месяцев 2016г. составила - 3164 кг, увеличение к уровню прошлого года на 7,4% (2947 кг. — 2015г). Соответственно увеличилась и реализация молока на 9,2% — 1831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(1677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— 2015г).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За 9 месяцев текущего года объем сдачи молока личными подсобными хозяйствами района снизился к уровню прошлого года на 9,9% и составил 854,1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(948,3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— 2015г.), из 9-ти сельских поселений, все поселения снизили объемы сдачи молока за исключением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Рямовского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поселения.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01.10.2016г. было осеменено 480 коров в частном секторе, что составляет 43% охвата искусственным осеменением, показатель остался на уровне прошлого года.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Общая площадь посева в 2016 году составила 47,07 тыс. га., показатель на уровне прошлого года.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структуре посевных площадей преобладают зерновые и зернобобовые культуры – 88,9% — 41,85 тыс. га., площадь рапса — 1,138 тыс. га. — 2,4%.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Весенне-полевые работы текущего года проведены в срок с учетом всех агротехнических условий.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 донесению Тюменского центра гидрометеорологии и мониторинга окружающей среды — филиала Федерального государственного бюджетного учреждения «Обь-Иртышское управление по гидрометеорологии и мониторингу окружающей среды» в вегетационный период растений с 21 мая по 20 июня текущего года в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Бердюжском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районе было зарегистрировано опасное агрометеорологическое явление «Почвенная засуха». Что в значительно мере повлияло на урожайность культур.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 оперативным данным, на 10.10.2016 года было убрано 50,6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тыс.тонн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 площади 41,9 тыс. га., с урожайностью (в бункерном весе) 12,1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/га.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2016 году хозяйствами Бердюжского района заготовлено кормов в объеме: сено 2,6 тыс.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(133% от планируемого объема), сенаж – 4,1 тыс.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(140% от планируемого объема).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Строительство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Жилье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План на 2016 год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 вводу жилья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в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Бердюжском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муниципальном районе составляет </w:t>
      </w: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3800,0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., в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т.ч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.: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индивидуальное жилищное строительство, площадью </w:t>
      </w: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3500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(на инженерно-подготовленных площадках выделено </w:t>
      </w: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1147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.);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январь-сентябрь 2016 года введено </w:t>
      </w: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41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жилых дома площадью </w:t>
      </w: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2328 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кв.м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Автодороги</w:t>
      </w:r>
    </w:p>
    <w:p w:rsidR="00DE5FA2" w:rsidRPr="00DE5FA2" w:rsidRDefault="00DE5FA2" w:rsidP="00DE5FA2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Выполнены работы по устройству 4 пешеходных переходов с. Бердюжье,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Полозаозерье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DE5FA2" w:rsidRPr="00DE5FA2" w:rsidRDefault="00DE5FA2" w:rsidP="00DE5FA2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Выполнены работы по объекту: «Ремонт ул. Мелиораторов с. Бердюжье (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Бердюжский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район)»;</w:t>
      </w:r>
    </w:p>
    <w:p w:rsidR="00DE5FA2" w:rsidRPr="00DE5FA2" w:rsidRDefault="00DE5FA2" w:rsidP="00DE5FA2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Выполнены работы по объекту: «Ремонт ул. Свердлова с. Бердюжье (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Бердюжский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район;</w:t>
      </w:r>
    </w:p>
    <w:p w:rsidR="00DE5FA2" w:rsidRPr="00DE5FA2" w:rsidRDefault="00DE5FA2" w:rsidP="00DE5FA2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Мероприятия по приведению пешеходных переходов в соответствие с требованиями новых нормативных стандартов в близи общеобразовательных учреждений;</w:t>
      </w:r>
    </w:p>
    <w:p w:rsidR="00DE5FA2" w:rsidRPr="00DE5FA2" w:rsidRDefault="00DE5FA2" w:rsidP="00DE5FA2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Выполнены работы по ремонту ул. Мелиораторов с. Бердюжье(устройство водопропускных труб);</w:t>
      </w:r>
    </w:p>
    <w:p w:rsidR="00DE5FA2" w:rsidRPr="00DE5FA2" w:rsidRDefault="00DE5FA2" w:rsidP="00DE5FA2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Выполнены работы по установке дорожных знаков с. Бердюжье ул. Молодежная, ул. Комсомольская, ул. Рабочая, ул. Советская.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Информация по молодым семьям в 2016 году: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 В соответствии с постановлением Правительства Тюменской области от 23.03.2011 №78-п (в редакции от 20.11.2015 № 539-п) «Об утверждении Порядка предоставления молодым семьям социальных выплат на приобретение жилого помещения или создание объекта индивидуального жилищного строительства» в рамках подпрограммы «Обеспечение жильем молодых семей» ФЦП «Жилище» на 2015–2020г, за январь-сентябрь 2016 года выдано 5 свидетельств на приобретение жилых помещений. Реализовано 3 свидетельства. Ведется прием документов на 2017 год.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 В соответствии с постановлением Правительства Тюменской области от 17.03.2014 № 106-п (в редакции от 06.04.2015 № 118, от 11.06.2015 № 255) «О социальных выплатах молодым семьям и молодым специалистам на селе – участникам мероприятий в рамках ФЦП «Устойчивое развитие сельских территорий на 2014–2017 годы и на период до 2020 года» за январь-сентябрь 2016 года выдано 6 свидетельств (2 строительство, 4- приобретение). Реализовано 1 свидетельство. Сводный список молодых семей (молодых специалистов), участников мероприятий по улучшению жилищных условий в рамках ФЦП «Устойчивое развитие сельских территорий на 2014–2017 годы и на период до 2020 года» состоит из 10 молодых семей (молодых специалистов). Сформирован список молодых семей (молодых специалистов) на 2017 финансовый год.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Жилищно-коммунальное хозяйство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текущем году произошла реорганизация предприятий жилищно-коммунального хозяйства. МУП «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Теплосервис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» присоединен к МУП «ЖКХ» Бердюжского района, организовано новое предприятие оказывающее жилищно-коммунальные услуги ООО «МУП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Бердюжское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ЖКХ». Добровольно ликвидирована управляющая компания ООО «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СибГео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строй».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Численность работающих в предприятиях ЖКХ по состоянию на 01.10.2016г. составляет – 114 человек.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Предприятиями предоставляются следующие виды услуг: теплоснабжение, водоснабжение, вывоз твердых и жидких бытовых отходов, ликвидация (захоронение) ТБО, благоустройство населенных пунктов, и другое.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Жилищное хозяйство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 капитальный ремонт муниципального жилищного фонда в 2016году выделено из местного бюджета 1 251,0тыс. руб., на выделенные средства планируется отремонтировать муниципальных жилой дом д.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Карькова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ул. Центральная, д. 37 (кв.1, кв. 2); ремонт муниципальной квартиры с. Бердюжье, ул. Комсомольская, 2, кв. 2; ремонт внутренней системы электроснабжения д.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Старорямова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ул. Мира, д. 13; ремонт перекрытия с. Бердюжье ул. Береговая, д. 8, кв. 1; замена оконных блоков д. Глубокое ул. Озерная, д. 5, кв. 2.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За 9 месяцев текущего года выполнены работы по ремонту муниципального жилищного фонда: отремонтирован муниципальный жилой дом в д.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Карькова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ул. Центральная, д. 37; муниципальная квартира д.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Старорямова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ул. Мира, д. 13 (ремонт внутренней системы электроснабжения); ремонт перекрытия муниципальной квартиры с. Бердюжье, ул. Береговая, д. 8, кв. 1; замена оконных блоков муниципальной квартиры д. Глубокое, ул. Озерная, д. 5, кв.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Коммунальное хозяйство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2016 год из бюджета выделены средства: на мероприятия по повышению устойчивости, эффективности работы инженерных систем и приведение в технически исправное состояние сетей и сооружений ЖКХ.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Теплоснабжение: 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теплоснабжение объектов социальной сферы и жилищного фонда района осуществляется 31 муниципальной котельной (из них 2 ведомственные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Истошино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ФАП, администрация СП), из которых 27 работают на природном газе, 4 ед. на угле.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Система теплоснабжения децентрализованная, закрытая, параметры теплоносителя по температурному графику 95/70 градусов С. Протяженность тепловых сетей 12,298 км, из них ветхие (подлежащие замене) 2,825км.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2016 году планируется провести ремонт котельных в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Зарослое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Бердюжье, ул. Комсомольская, ул. Герцена, ул. Приозерная, ремонт котельной нежилого здания (бани). В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Мелехино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планируется установка блочной модульной котельной В газовых котельных района планируется установка газовых регуляторов, сетевых насосов.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текущем году выполнены работы по актуализированы схемы теплоснабжения в части корректировки электронной модели схем теплоснабжения сельских поселений Бердюжского муниципального района ; отремонтированы котельные с. Бердюжье, ул. Герцена (замена котлов), ул. Приозерная (замена котла), ул. Комсомольская, ремонт котельной нежилого здания (бани),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котельная блочная № 1 (замена котла) ;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Зарослое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(замена котла), установлена блочная котельная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Мелехино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установлены газовые регуляторы в газовых котельных, оказаны услуги технического надзора (строительный контроль) при ремонте объектов теплоснабжения.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Водоснабжение: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водоснабжение района осуществляется по средствам водопроводных сетей, протяженность которых составляет (в соответствии со схемой водоснабжения Бердюжского района) 187,0км., из них требующих реконструкции – 92,3км. Вода подается населению в основном без очистки и обеззараживания, за исключением с. Бердюжья.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8 населенных пунктах водоснабжение производится из подземных источников (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с.Бердюжье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Полозаозерье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Старорямово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Кушлук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Зарослое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Шабурово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Кутырево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Водозабор со станцией водоочистки имеется в с. Бердюжье.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Нет водопроводов в 4 населенных пунктах (д.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Крутоберегое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Сугатово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 Луговая, д. Чесноки), жители деревень используют привозную воду. Действующие системы 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водоснабжения в малых населенных пунктах находятся в ветхом состоянии, износ сетей до 100%. Водозаборов-27 штук, из низ 4 на закрытых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водоисточниках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23 на открытых водоемах; скважин 21 шт. (с. Бердюжье,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Зарослое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Полозаозерье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Кушлук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Старорямово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Шабурово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Кутырево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2016 году планируется провести ремонт межпоселкового водопровода д.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Старорямова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Истошино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водопроводных сетей д. Гагарина,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Пеганово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с. Нестерово, д. Одышка, ремонт водопровода от водозабора до разводящих сетей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. Планируются мероприятия установке систем подготовки и очистки питьевой воды в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Полозаозерье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д. Одышка, техническое обслуживание и ремонту существующих систем очистки питьевой воды. На водозаборах планируется установить насосы, провести ремонт водозабора в с. Нестерово.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текущем году выполнены работы по ремонту водопроводных сетей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Пеганово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ул. Ленина + врезки ; д. Одышка, ул. Береговая, д. Гагарина от ул. Школьная д. 49 до ул. Речная д. 80 , проведен ремонт водопровода от водозабора до разводящей сети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; проведено техническое обслуживание и ремонт локальных систем очистки питьевой воды за 2 и 3 квартал . Установлены системы подготовки и очистки питьевой воды в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Полозаозерье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д.. Отремонтирован межпоселковый водопровод д.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Старорямова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Истошино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Оказаны услуги технического надзора (строительный контроль) при ремонте объектов водоснабжения.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Вывоз ЖБО: 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система канализации в населенных пунктах района только выгребная, сетевое водоотведение отсутствует, вывоз осуществляется автомобильным транспортом. Очистных сооружений ЖБО в районе нет.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Вывоз ТБО и утилизация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 накопление твёрдых бытовых отходов IV и V классов опасности, образуемых от населения и прочих организаций, осуществляется на стационарных точках сбора, затем вывозятся спец. автотранспортом, для последующего размещения на полигоне ТБО и свалках временного хранения отходов. Отходы, вывозимые самостоятельно населением и предприятиями, так же размещаются на свалках временного хранения отходов в с. Бердюжье на полигоне ТБО.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Газоснабжении: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 имеется 289,6 км. газопроводов, в том числе межпоселковых 118,1км,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внутрипоселковых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171,5км. Обслуживанием газопроводов занимается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Голышмановский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межрайгаз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на договорной основе.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Уровень газификации в районе составляет 62,6%, число абонентов на территории района составляет 3052 семьи.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9 месяцев текущего года субсидии на газификацию льготной категории граждан не выплачивались.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Товарооборот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Торговля является одной из важнейших отраслей экономики Бердюжского района, состояние и эффективность функционирования которой непосредственно влияют на развитие производства потребительских товаров и уровень жизни населения.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состоянию на 01.10.2016 года на территории Бердюжского муниципального района действовало 115 объектов торговли, площадь торговых залов которых составила 10212,75 кв. м.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Торговым обслуживанием охвачено все население района. Доля индивидуальных предпринимателей без образования юридического лица работающих в сфере торговли по-прежнему занимает большую часть.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Объем розничного товарооборота во всех каналах реализации по предварительным данным за 9 месяцев 2016 года составил 527,5 млн. рублей.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состоянию на 01.10.2016г. функционирует открытая сеть объектов общественного питания, которая представлена 4 кафе, 2 закусочными.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Оборот общественного питания в рассматриваемом периоде составил 22,7млн. руб.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Платные услуги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структуре платных услуг населению во всех каналах реализации наибольшие доли занимают следующие виды услуг: жилищно-коммунальные; услуги связи; транспортные; бытовые.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9 месяцев 2016 года в сфере услуг наблюдается положительная динамика, состоялось открытие: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1.Студии красоты «Притяжение», под руководством ИП Абрамовой И.В.;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2.Парикмахерской «Евгения», под руководством ИП Трофимовой Н.В и ИП Ушаковой Т.В.;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3.Центра отдыха «Коралл», который предоставляет различный спектр услуг населению: сауна, бассейн, кедровая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фитобочка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, солярий, различные виды массажа, косметические услуги.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4.В рамках реализации проекта по созданию рабочих мест для инвалидов, на территории района при финансовой поддержке Центрального правления Всероссийского общества инвалидов состоялось открытие гостиницы «Заря».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ООО «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Бердюжское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автотранспортное предприятие» за 9 месяцев 2016 года оказало населению услуг пассажирского транспорта на 17,5% больше, чем в аналогичном периоде 2015 года. Пассажирооборот составил 4832 тыс. пасс./км, что к уровню прошлого года составило 94,5%. Перевезено пассажиров 53,7 тыс. человек.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Кроме того, оказанием услуг пассажирского транспорта занимаются индивидуальные предприниматели без образования юридического лица.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Социальная сфера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01.10.2016 года сеть учреждений, финансируемых по разделу «Образование» не изменилась и представляет 3 юридических лица: 2 школы и 1 детский сад.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Дошкольное образование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Количество детей посещающих дошкольные образовательные организации 01.10.2016г – 733 человек. В том числе до 1,5 лет – 26 детей. Численность детей, посещающих группы кратковременного пребывания — 194 человек.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Количество детей «на полный день» в дошкольных образовательных организациях – 535 человек.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9 месяцев 2016 года учреждениями дошкольного образования были приобретены основные средства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МАУ ДО Бердюжского района детский сад «Малышок» -компьютерное оборудование, инструменты для текущего ремонта, мебель, холодильник, морозильная камера;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структурное подразделение МАОУ СОШ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Истошино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мебель, камера для внутреннего наблюдения.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Общее образование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конец 2015–2016 учебного года в образовательных организациях района обучалось 1420 учащихся. Общая успеваемость составила 100%, качественная 49%, что на 1% выше предыдущего года. 101 обучающийся (8) закончили год на отлично, 508 обучающихся (41%) на «4 и 5».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Одним из важнейших показателей уровня качества образования обучающихся являются результаты государственной итоговой аттестации: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2015–2016 году 101 обучающийся 9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кл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проходили ГИА в формате ОГЭ (основной государственный экзамен) все выпускники прошли успешно. Качество по русскому языку составило 57%, средний балл 29. Качество по математике составило 32% средний балл 13.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98 обучающихся 11 классов проходили ГИА в формате ЕГЭ (единый государственный экзамен). Все обучающиеся преодолели минимальный порог по количеству баллов по русскому языку и математике. Средний балл по русскому языку составил 59,6, по математике 58,2. Высокие результаты по итогам ЕГЭ показали выпускники, претендующие на медаль «За особые успехи в учении» 7 обучающихся получили аттестат с отличием и медаль, что составило 7,2% от общего числа выпускников.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 115 выпускников 9 классов продолжили обучение 113 человек, что составляет 95% от общего числа выпускников, 2 не обучаются по состоянию здоровья (ОВЗ). Из 113 человек 95 продолжили обучение в 10 классе (83%), для 27 учащихся 10 классов и 22 учащихся 11 классов на базе МАОУ СОШ с. Бердюжье организовано профильное обучение естественно-математического направления. Из 98 выпускников11 классов 89 продолжили обучение (91%), из них 39 в высших учебных заведениях (40%)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Количество учащихся на 01.09.2016 г составило 1445, что на 22 ребенка больше прошлого года.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Сведения по классам – комплектам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9"/>
        <w:gridCol w:w="1408"/>
        <w:gridCol w:w="1408"/>
        <w:gridCol w:w="1286"/>
      </w:tblGrid>
      <w:tr w:rsidR="00DE5FA2" w:rsidRPr="00DE5FA2" w:rsidTr="00DE5F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Наименование показателей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01.09.2015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 01.09.2016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Отклонения</w:t>
            </w:r>
          </w:p>
        </w:tc>
      </w:tr>
      <w:tr w:rsidR="00DE5FA2" w:rsidRPr="00DE5FA2" w:rsidTr="00DE5F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Классы-комплекты 1–4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+3</w:t>
            </w:r>
          </w:p>
        </w:tc>
      </w:tr>
      <w:tr w:rsidR="00DE5FA2" w:rsidRPr="00DE5FA2" w:rsidTr="00DE5F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Учащиеся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DE5FA2" w:rsidRPr="00DE5FA2" w:rsidTr="00DE5F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Наполняемость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15,7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-1,3</w:t>
            </w:r>
          </w:p>
        </w:tc>
      </w:tr>
      <w:tr w:rsidR="00DE5FA2" w:rsidRPr="00DE5FA2" w:rsidTr="00DE5F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Классы–комплекты 5–9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+1</w:t>
            </w:r>
          </w:p>
        </w:tc>
      </w:tr>
      <w:tr w:rsidR="00DE5FA2" w:rsidRPr="00DE5FA2" w:rsidTr="00DE5F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Учащиеся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627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+28</w:t>
            </w:r>
          </w:p>
        </w:tc>
      </w:tr>
      <w:tr w:rsidR="00DE5FA2" w:rsidRPr="00DE5FA2" w:rsidTr="00DE5F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Наполняемость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12,3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+0,3</w:t>
            </w:r>
          </w:p>
        </w:tc>
      </w:tr>
      <w:tr w:rsidR="00DE5FA2" w:rsidRPr="00DE5FA2" w:rsidTr="00DE5F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Классы-комплекты 10–11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</w:p>
        </w:tc>
      </w:tr>
      <w:tr w:rsidR="00DE5FA2" w:rsidRPr="00DE5FA2" w:rsidTr="00DE5F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Учащиеся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-6</w:t>
            </w:r>
          </w:p>
        </w:tc>
      </w:tr>
      <w:tr w:rsidR="00DE5FA2" w:rsidRPr="00DE5FA2" w:rsidTr="00DE5F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Наполняемость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-0,3</w:t>
            </w:r>
          </w:p>
        </w:tc>
      </w:tr>
      <w:tr w:rsidR="00DE5FA2" w:rsidRPr="00DE5FA2" w:rsidTr="00DE5F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Классы-всего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+4</w:t>
            </w:r>
          </w:p>
        </w:tc>
      </w:tr>
      <w:tr w:rsidR="00DE5FA2" w:rsidRPr="00DE5FA2" w:rsidTr="00DE5F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Учащиеся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1445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+22</w:t>
            </w:r>
          </w:p>
        </w:tc>
      </w:tr>
      <w:tr w:rsidR="00DE5FA2" w:rsidRPr="00DE5FA2" w:rsidTr="00DE5FA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Наполняемость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13,1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5FA2" w:rsidRPr="00DE5FA2" w:rsidRDefault="00DE5FA2" w:rsidP="00DE5FA2">
            <w:pPr>
              <w:spacing w:after="24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DE5FA2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-0,3</w:t>
            </w:r>
          </w:p>
        </w:tc>
      </w:tr>
    </w:tbl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eastAsia="ru-RU"/>
        </w:rPr>
        <w:t>Другие вопросы в области образования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Подраздел 1004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9 месяцев 2016 год года льготой по компенсации части родительской платы было охвачено 454 человека, в том числе по очередности рождаемости в семье: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181 – первый ребенок в семье;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178 – второй ребенок в семье;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95 – третий ребенок в семье.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Установленный размер родительской платы в месяц с 01.01.2016 г в МАУ ДО «Малышок» и «Солнышко» — 1600 рублей в месяц, а в дошкольных отделениях МАОУ СОШ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Истошино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и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Уктуз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1400 рублей в месяц.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Средний фактический размер начисленной родительской платы с учетом посещаемости детьми дошкольного учреждения составил за 9 месяцев текущего года по МАУ – 1045 рублей в месяц, по отделениям дошкольного образования общеобразовательных школ МАОУ СОШ с.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Истошино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Окунево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Уктуз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,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Старорямово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– 773 рублей в месяц. В среднем по всем учреждениям 977 руб. в месяц.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Здравоохранение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В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Бердюжском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муниципальном районе медицинские услуги населению оказываются Филиалом №3 ГБУЗ ТО «Областная больница № 4» (г. Бердюжье) на 56 больничных коек.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Среднесписочная численность работающих ГБУЗ ТО «Областная больница № 4» (г. Ишим) в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Бердюжском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районе 219 человек, в том числе врачей 19 человек.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9 месяцев 2016 года зарегистрировано 39180 посещений к врачам, в том числе к стоматологу 3605. Стационарное лечение прошли 1841 человек. Зафиксировано 2065 вызовов скорой помощи.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рамках реализации национального проекта «Здоровье» за 9 месяцев 2016 года выдано 128 родовых сертификатов.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Культура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отчетную дату числится 33 учреждения культуры, из них 17стационарныхучреждений культуры клубного типа, 1 передвижной клубный комплекс (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ПКК,обслуживающий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10 малых деревень), 15 библиотечных учреждений (из них 4формирования библиотека – клуб)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Количество посадочных мест на отчетную дату в клубных учреждениях составило – 1657 единиц.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Фактическая численность работающих в отрасли на отчетную дату составила 96 человек, штатная численность – 82,2. Из них: клубные работники – 69 человек, штатная численность — 58,7 единиц, библиотечные работники – 27 человек, штатная численность – 23,5 единиц.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Клубные учреждения.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отчетный период в учреждениях культуры проведено 3062 мероприятия, количество посещений составило – 156263 человек, в том числе мероприятий на платной основе — 1617, количество посещений — 87669 человек, массовых мероприятий — 289, посещений – 47020 человек.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районе работает 117 клубных формирований, число участников составляет 1621 человек, из них детских кружков – 62, с числом участников 862 человек. В течение </w:t>
      </w: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отчетного 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периода проведены крупные мероприятия: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Рождественский благотворительный концерт «Рождественская звезда»;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Фольклорный праздник «Живая старина»;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Тематическая программа «Пока мы помним – мы живём!»;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- Праздничный концерт «Слава тебе, победитель – солдат!», посвященный Дню Защитника Отечества;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Праздничный концерт «С любовью к женщине!»;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Цикл мероприятий, посвященный масленице – «Гуляй, Масленица!»;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Районный фестиваль – конкурс «Родники — 2016» ветеранских организаций;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Праздник работников культуры «Без нас скучала бы планета».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XV юбилейный районный фестиваль детского вокального творчества «Крылья — 2016»;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районный фестиваль самодеятельного творчества «Радуга талантов» среди организаций и предприятий райцентра;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вечер отдыха за столиками «Майский вечер»;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Цикл мероприятий, посвященный празднику Победы.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Цикл мероприятий посвященный Дню защиты детей;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профессиональный праздник предпринимателей;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Митинг «День памяти и скорби»;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Праздник «Мы будущее России», посвященный Дню молодежи.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Районный праздник «Люблю тебя, мой край Тюменский», посвященный Дню Тюменской области;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Всероссийская акция «Ночь Кино», посвященная году кино;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народное гуляние.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Учреждение приняло участие: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I международный конкурс «Кит»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г.Тюмень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Областной этап XIV регионального конкурса молодых исполнителей «Песня не знает границ» Уральского Федерального округа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г.Тюмень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Международный конкурс – фестиваль «Будущее начинается здесь»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г.Тюмень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участие XVI областном фестивале — конкурсе «Радуга» детского национального творчества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г.Тюмень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Библиотеки.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отчетный период в библиотечных учреждениях района количество читателей составило – 6198 человек, посещений 84665, книговыдача составила 273805 экземпляров, проведено 481 мероприятия, которые посетило 7141 человек, охват населения услугами библиотек на отчетный период составил 58%.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Физкультура и спорт.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отчетную дату числится 63 спортивных сооружений по району, по МАУ ДО «ДЮСШ» – 44.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Численность работающих в организации составляет 60 человек (штатная численность – 55,75).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 xml:space="preserve">Количество проведенных мероприятий – 228: в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т.ч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по месту жительства – 146; областные и районные соревнования – 82, детские – 20.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Участников спортивных мероприятий – 9300 человек. Количество жителей, регулярно занимающихся спортом – 3786, в МАУ – 2359 человек, количество обучающихся 450 детей, количество учебных групп- 22.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Проведены крупные мероприятия: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Чемпионат области по волейболу;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Межрайонная спартакиада школьников;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Чемпионат по гиревому;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Областной День здоровья;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Районные сельские спортивные игры;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Фестиваль ГТО;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День физкультурника;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Спартакиада школьников.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Приняли участие в крупных мероприятиях: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Чемпионат области по мини-футболу;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Турнир по рукопашному бою;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Спартакиада «Старты надежд»;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Спартакиада инвалидов;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Спартакиада «Кубок дружбы»;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Фестиваль ГТО.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Молодежная политика.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Среднесписочная численность в МАУ «Молодежный центр» составила 8 человек, штатных единиц 6,25.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текущий период по направлению «Молодежная политика» проведено 76 мероприятий. Работает 6 молодежных объединений, количество участников составило 106 человек.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Проведены крупные мероприятия: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слет лидеров «Профориентация»;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районное мероприятие «Встреча с афганцами»;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районное мероприятие Областная зарядка;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районное мероприятие День призывника;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районное мероприятие Безопасное колесо;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районное мероприятие День молодежи.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Дополнительное образование детей: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МАУ ДО ДШИ «Гармония»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Среднесписочная численность работающих составила 11 человек, штатная численность 16,07единиц ( в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т.ч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 6 педагогов, штатная численность 12,57 единиц).Охвачено услугами дополнительного образования – 170 детей.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Проведены крупные мероприятия: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Концертная программа посвященная празднованию 8-го Марта;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- 5-й открытый зональный конкурс-фестиваль «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Ишимская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мозайка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областной фестиваль детского национального творчества «Радуга»;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- 12 областной конкурс юных музыкантов им.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С.Мамонтова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г. Ялуторовск;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Внутри школьный конкурс «Юный виртуоз»;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Концертная программа посвященная Дню Победы;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Отчетный концерт посвященный Выпускникам 2016г.;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День славянской культуры и письменности;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День Российского предпринимателя;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Работа с детскими площадками на базе МАУ ДО ДШИ «Гармония»;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-Лекция – концерт для учащихся 1–4 класс МАУ СОШ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с.Бердюжье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Демография.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Численность населения на 01.01.2016 года по данным статистики составила 10907 человек.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январь-август 2016 года родилось – 112 человек, умерло – 135 человек. Естественная убыль составила – 23 человека (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стат.сборник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январь-август 2016 г.) 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Уровень жизни населения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Общая численность граждан, состоящих на учете в органах социальной защиты населения на отчетную дату составляет 6625 чел, из них численность льготных категорий граждан,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прожиающих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в районе составляет 3072 чел., в том числе 1306 чел. – льготные категории граждан федерального уровня, 1766 чел. – льготные категории граждан регионального уровня. Численность льготных категорий граждан составляет 27% от общей численности населения района.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Количество получателей адресного социального пособия за 9 месяцев 2016 года составляет 448 человека, что составляет 83% к уровню прошлого года, снижение численности получателей произошел за счет изменения условий предоставления адресной социальной помощи.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Одним из видов социальной поддержки малообеспеченных групп населения является получение субсидий на оплату жилья и коммунальных услуг. По состоянию на отчетную дату получателями субсидии являются 97 семей, что ниже уровня прошлого года на 27%.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Льготы по оплате жилищно-коммунальных услуг имеют 2571человек. За текущий период сумма представленных льгот на оплату жилищно-коммунальных услуг увеличилась на 36%, по сравнению с аналогичным периодом 2015 года. Рост суммы выплаченных льгот связан с 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увеличением тарифов на ЖКУ, возмещением затрат отдельной категории граждан на капитальный ремонт многоквартирных жилых домов.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Малое предпринимательство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 территории Бердюжского муниципального образования по состоянию на 01.10.2016 г. зарегистрировано индивидуальных предпринимателей — 186, юридических лиц (малые, средние предприятия,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микропредприятия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) — 54.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Субъекты малого и среднего предпринимательства играют важнейшую роль в экономике Бердюжского муниципального района. Так производство пищевой промышленной продукции полностью представлено субъектами малого и среднего предпринимательства, в том числе: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ИП Руденко А.Ф., ИП Ерофеева В.А., ООО ТПП «Спектр», ИП Малахова М.А (производство хлеба, муки);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ИП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Тангина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Е.Ю, ИП Ерофеева В.А. (производство кондитерских изделий);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ИП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Соленик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Н.В., ООО «Молоко», ИП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Сехниаидзе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Д.И. (производство сыров, в том числе рассольных);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ООО «Молоко» (производство цельномолочной продукции);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СПССПК «Энергия» (производство мяса, субпродуктов и полуфабрикатов);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СПК «Енисей» (производство крупы);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- ООО «ЛК «Эра-Тюмень» (производство рыбной продукции вяленой и копчёной);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ООО «Станичное», ИП Никитин С.М.,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Волынкин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Н.Г. (вылов рыбы).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Кроме того, субъекты малого и среднего предпринимательства в районе занимаются торговым обслуживанием населения, оказанием услуг общественного питания, бытовых услуг, строительством.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Финансовое состояние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Уточненный объем местных бюджетов района по доходам составляет 485232 тыс. рублей, из которых 98,624 млн. руб. – объем налоговых и неналоговых доходов. Объем поступления налоговых и неналоговых доходов68865 </w:t>
      </w: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тыс.рублей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Доля налоговых и неналоговых доходов от всех поступлений 19,6%.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План поступлений налоговых и неналоговых доход исполнен на 69,8%.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структуре поступивших доходов за 9 месяцев 2016 года 72,0% приходится на поступление налога на доходы физических лиц, в общем объеме 14,1%, 3,9% — доля поступлений от налогов на совокупный доход, в общем объеме поступлений 0,8%.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Консолидированный бюджет муниципального района имеет социальную направленность. В структуре расходов бюджета за 9 месяцев 2016 года – 72,7% составляют расходы на образование, культуру, спорт и социальную политику.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Расходы бюджета за 9 месяцев 2016 года составили 342568 тыс. рублей. Годовой план по расходам исполнен на 69,1%.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Безопасность.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 итогам 9 месяцев 2016 года произошло незначительное снижение общего количества зарегистрированных преступлений на 1,5% ( с 133 до 131), в том числе преступлений </w:t>
      </w: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следствие по которым обязательно на 45,4% ( с 55 до 30). Количество тяжких и особо тяжких преступлений так же снизилось на 41,2%(17 до 10). При этом количество преступлений, следствие по которым не обязательно увеличилось на 29,5% (с 78 до 101).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Отмечается увеличение количества зарегистрированных преступлений таких категорий как:</w:t>
      </w:r>
    </w:p>
    <w:p w:rsidR="00DE5FA2" w:rsidRPr="00DE5FA2" w:rsidRDefault="00DE5FA2" w:rsidP="00DE5FA2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пгичинение</w:t>
      </w:r>
      <w:proofErr w:type="spellEnd"/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тяжкого вреда здоровью на 33,3% (с 3 до 4), в том числе на бытовой почве на 100% (с 1 до 2);</w:t>
      </w:r>
    </w:p>
    <w:p w:rsidR="00DE5FA2" w:rsidRPr="00DE5FA2" w:rsidRDefault="00DE5FA2" w:rsidP="00DE5FA2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Грабежей на 200% (с 0 до 2);</w:t>
      </w:r>
    </w:p>
    <w:p w:rsidR="00DE5FA2" w:rsidRPr="00DE5FA2" w:rsidRDefault="00DE5FA2" w:rsidP="00DE5FA2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гоны транспортных средств на 200% ( с 0 до 2);</w:t>
      </w:r>
    </w:p>
    <w:p w:rsidR="00DE5FA2" w:rsidRPr="00DE5FA2" w:rsidRDefault="00DE5FA2" w:rsidP="00DE5FA2">
      <w:pPr>
        <w:numPr>
          <w:ilvl w:val="0"/>
          <w:numId w:val="2"/>
        </w:numPr>
        <w:shd w:val="clear" w:color="auto" w:fill="FFFFFF"/>
        <w:spacing w:before="100" w:beforeAutospacing="1"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вовлечение несовершеннолетнего в совершение преступления на 100% ( с 0 до 1).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 сравнению с аналогичным периодом прошлого года снижена раскрываемость преступлений по «горячим следам» на 10% (с 24,8 до 14,8%).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9 месяцев текущего года выявлено 2 преступления связанных с незаконным оборотом наркотических веществ. Не выявлено преступлений, связанных с незаконным оборотом оружия.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Что касается имущественных преступлений, количество зарегистрированных преступлений данного вида снизилось на 13,3% ( с 45 до 39).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Снизилась и регистрация краж – как основного вида имущественных преступлений на 3 преступления ( с 33 до 30). Удельный вес расследованных имущественных преступлений снизился и составил 51,4% (АППГ – 62,2%). На территории обслуживания зарегистрирована 1 кража из квартир, 2 грабежа, 2 преступления связанных с угоном транспортного средства, зарегистрировано 5 мошенничеств.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Меры профилактического характера, направленные на снижение преступлений, совершенных в общественных местах, не приносят положительных результатов. Количество преступлений, совершенных в общественных местах, продолжает увеличиваться (рост с 15 до 30 преступлений). Количество преступлений, совершенных на улицах так же увеличилось с 13 до 24 преступлений.</w:t>
      </w:r>
    </w:p>
    <w:p w:rsidR="00DE5FA2" w:rsidRPr="00DE5FA2" w:rsidRDefault="00DE5FA2" w:rsidP="00DE5FA2">
      <w:pPr>
        <w:shd w:val="clear" w:color="auto" w:fill="FFFFFF"/>
        <w:spacing w:after="24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5FA2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 9 месяцев 2016 года зарегистрировано 60 дорожно-транспортных происшествий, ранено 13, погиб 1 человек.</w:t>
      </w:r>
    </w:p>
    <w:p w:rsidR="00F8337E" w:rsidRDefault="00F8337E"/>
    <w:sectPr w:rsidR="00F83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16879"/>
    <w:multiLevelType w:val="multilevel"/>
    <w:tmpl w:val="53404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CCB5A30"/>
    <w:multiLevelType w:val="multilevel"/>
    <w:tmpl w:val="331C1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FA2"/>
    <w:rsid w:val="00DE5FA2"/>
    <w:rsid w:val="00F8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4788</Words>
  <Characters>27296</Characters>
  <Application>Microsoft Office Word</Application>
  <DocSecurity>0</DocSecurity>
  <Lines>227</Lines>
  <Paragraphs>64</Paragraphs>
  <ScaleCrop>false</ScaleCrop>
  <Company>Krokoz™</Company>
  <LinksUpToDate>false</LinksUpToDate>
  <CharactersWithSpaces>32020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2</cp:revision>
  <dcterms:created xsi:type="dcterms:W3CDTF">2018-03-27T06:44:00Z</dcterms:created>
  <dcterms:modified xsi:type="dcterms:W3CDTF">2018-03-27T06:45:00Z</dcterms:modified>
</cp:coreProperties>
</file>