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8"/>
        <w:tabs>
          <w:tab w:val="left" w:pos="7230" w:leader="none"/>
        </w:tabs>
        <w:rPr>
          <w:sz w:val="40"/>
          <w:szCs w:val="40"/>
        </w:rPr>
      </w:pPr>
      <w:r>
        <w:rPr>
          <w:sz w:val="40"/>
          <w:szCs w:val="40"/>
        </w:rPr>
        <w:t>ТЕРРИТОРИАЛЬНАЯ</w:t>
      </w:r>
      <w:r>
        <w:rPr>
          <w:sz w:val="40"/>
          <w:szCs w:val="40"/>
          <w:lang w:val="en-US"/>
        </w:rPr>
        <w:t xml:space="preserve"> </w:t>
      </w:r>
      <w:r>
        <w:rPr>
          <w:sz w:val="40"/>
          <w:szCs w:val="40"/>
        </w:rPr>
        <w:t>ИЗБИРАТЕЛЬНАЯ  КОМИССИЯ</w:t>
      </w:r>
      <w:r>
        <w:rPr>
          <w:sz w:val="40"/>
          <w:szCs w:val="40"/>
          <w:lang w:val="en-US"/>
        </w:rPr>
        <w:t xml:space="preserve"> </w:t>
      </w:r>
      <w:r>
        <w:rPr>
          <w:sz w:val="40"/>
          <w:szCs w:val="40"/>
        </w:rPr>
        <w:t>БЕРДЮЖСКОГО РАЙОНА</w:t>
      </w:r>
    </w:p>
    <w:p>
      <w:pPr>
        <w:pStyle w:val="Style19"/>
        <w:tabs>
          <w:tab w:val="left" w:pos="7230" w:leader="none"/>
        </w:tabs>
        <w:rPr>
          <w:sz w:val="18"/>
        </w:rPr>
      </w:pPr>
      <w:r>
        <w:rPr>
          <w:sz w:val="18"/>
        </w:rPr>
      </w:r>
    </w:p>
    <w:p>
      <w:pPr>
        <w:pStyle w:val="Normal"/>
        <w:tabs>
          <w:tab w:val="left" w:pos="7230" w:leader="none"/>
        </w:tabs>
        <w:jc w:val="both"/>
        <w:rPr>
          <w:sz w:val="18"/>
        </w:rPr>
      </w:pPr>
      <w:r>
        <w:rPr>
          <w:sz w:val="1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635</wp:posOffset>
                </wp:positionH>
                <wp:positionV relativeFrom="paragraph">
                  <wp:posOffset>13335</wp:posOffset>
                </wp:positionV>
                <wp:extent cx="6620510" cy="5715"/>
                <wp:effectExtent l="0" t="0" r="0" b="0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0040" cy="252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0.95pt" to="521.25pt,1.1pt" stroked="t" style="position:absolute">
                <v:stroke color="black" weight="1908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635</wp:posOffset>
                </wp:positionH>
                <wp:positionV relativeFrom="paragraph">
                  <wp:posOffset>74295</wp:posOffset>
                </wp:positionV>
                <wp:extent cx="6620510" cy="1397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0040" cy="108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5.4pt" to="521.25pt,6.2pt" stroked="t" style="position:absolute">
                <v:stroke color="black" joinstyle="round" endcap="flat"/>
                <v:fill o:detectmouseclick="t" on="false"/>
              </v:line>
            </w:pict>
          </mc:Fallback>
        </mc:AlternateContent>
      </w:r>
    </w:p>
    <w:tbl>
      <w:tblPr>
        <w:tblW w:w="10540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212"/>
        <w:gridCol w:w="5327"/>
      </w:tblGrid>
      <w:tr>
        <w:trPr/>
        <w:tc>
          <w:tcPr>
            <w:tcW w:w="5212" w:type="dxa"/>
            <w:tcBorders/>
            <w:shd w:fill="auto" w:val="clear"/>
          </w:tcPr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i/>
                <w:sz w:val="18"/>
              </w:rPr>
              <w:t>Адрес:</w:t>
            </w:r>
            <w:r>
              <w:rPr>
                <w:sz w:val="18"/>
              </w:rPr>
              <w:t xml:space="preserve"> 627440, Тюменская область, </w:t>
              <w:tab/>
              <w:tab/>
              <w:tab/>
            </w:r>
          </w:p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>с. Бердюжье, ул. Крупской, 1</w:t>
            </w:r>
          </w:p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i/>
                <w:sz w:val="18"/>
              </w:rPr>
              <w:t xml:space="preserve">Тел:  </w:t>
            </w:r>
            <w:r>
              <w:rPr>
                <w:sz w:val="18"/>
              </w:rPr>
              <w:t>(34554) 2-14-38</w:t>
            </w:r>
          </w:p>
        </w:tc>
        <w:tc>
          <w:tcPr>
            <w:tcW w:w="5327" w:type="dxa"/>
            <w:tcBorders/>
            <w:shd w:fill="auto" w:val="clear"/>
          </w:tcPr>
          <w:p>
            <w:pPr>
              <w:pStyle w:val="Normal"/>
              <w:tabs>
                <w:tab w:val="left" w:pos="7230" w:leader="none"/>
              </w:tabs>
              <w:jc w:val="right"/>
              <w:rPr>
                <w:b/>
                <w:b/>
                <w:i/>
                <w:i/>
                <w:sz w:val="22"/>
              </w:rPr>
            </w:pPr>
            <w:r>
              <w:rPr>
                <w:b/>
                <w:i/>
                <w:sz w:val="22"/>
              </w:rPr>
            </w:r>
          </w:p>
        </w:tc>
      </w:tr>
    </w:tbl>
    <w:p>
      <w:pPr>
        <w:pStyle w:val="Normal"/>
        <w:tabs>
          <w:tab w:val="left" w:pos="7230" w:leader="none"/>
        </w:tabs>
        <w:jc w:val="both"/>
        <w:rPr>
          <w:sz w:val="18"/>
        </w:rPr>
      </w:pPr>
      <w:r>
        <w:rPr>
          <w:sz w:val="18"/>
        </w:rPr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8"/>
        <w:tabs>
          <w:tab w:val="left" w:pos="7230" w:leader="none"/>
        </w:tabs>
        <w:jc w:val="center"/>
        <w:rPr>
          <w:b/>
          <w:b/>
          <w:bCs/>
          <w:i w:val="false"/>
          <w:i w:val="false"/>
        </w:rPr>
      </w:pPr>
      <w:r>
        <w:rPr>
          <w:b/>
          <w:bCs/>
          <w:i w:val="false"/>
          <w:sz w:val="27"/>
          <w:szCs w:val="27"/>
        </w:rPr>
        <w:t>РЕШЕНИЕ</w:t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  <w:t xml:space="preserve">« 13 »  февраля  2018 г.  </w:t>
        <w:tab/>
        <w:tab/>
        <w:tab/>
        <w:t xml:space="preserve">          №</w:t>
      </w:r>
      <w:r>
        <w:rPr>
          <w:sz w:val="27"/>
          <w:szCs w:val="27"/>
          <w:u w:val="single"/>
        </w:rPr>
        <w:t xml:space="preserve">  111   </w:t>
      </w:r>
    </w:p>
    <w:p>
      <w:pPr>
        <w:pStyle w:val="Normal"/>
        <w:tabs>
          <w:tab w:val="left" w:pos="7230" w:leader="none"/>
        </w:tabs>
        <w:jc w:val="both"/>
        <w:rPr>
          <w:b/>
          <w:b/>
          <w:bCs/>
          <w:sz w:val="27"/>
          <w:szCs w:val="27"/>
        </w:rPr>
      </w:pPr>
      <w:r>
        <w:rPr>
          <w:b/>
          <w:bCs/>
          <w:sz w:val="27"/>
          <w:szCs w:val="27"/>
        </w:rPr>
      </w:r>
    </w:p>
    <w:p>
      <w:pPr>
        <w:pStyle w:val="Normal"/>
        <w:tabs>
          <w:tab w:val="left" w:pos="7230" w:leader="none"/>
        </w:tabs>
        <w:ind w:hanging="0"/>
        <w:rPr/>
      </w:pPr>
      <w:r>
        <w:rPr>
          <w:b/>
          <w:bCs/>
          <w:sz w:val="27"/>
          <w:szCs w:val="27"/>
        </w:rPr>
        <w:t xml:space="preserve">О проведении жеребьевки по определению дат </w:t>
      </w:r>
    </w:p>
    <w:p>
      <w:pPr>
        <w:pStyle w:val="Normal"/>
        <w:tabs>
          <w:tab w:val="left" w:pos="7230" w:leader="none"/>
        </w:tabs>
        <w:ind w:hanging="0"/>
        <w:rPr/>
      </w:pPr>
      <w:r>
        <w:rPr>
          <w:b/>
          <w:bCs/>
          <w:sz w:val="27"/>
          <w:szCs w:val="27"/>
        </w:rPr>
        <w:t xml:space="preserve">и времени выхода в эфир на безвозмездной основе </w:t>
      </w:r>
    </w:p>
    <w:p>
      <w:pPr>
        <w:pStyle w:val="Normal"/>
        <w:tabs>
          <w:tab w:val="left" w:pos="7230" w:leader="none"/>
        </w:tabs>
        <w:ind w:hanging="0"/>
        <w:rPr/>
      </w:pPr>
      <w:r>
        <w:rPr>
          <w:b/>
          <w:bCs/>
          <w:sz w:val="27"/>
          <w:szCs w:val="27"/>
        </w:rPr>
        <w:t xml:space="preserve">совместных агитационных мероприятий, </w:t>
      </w:r>
    </w:p>
    <w:p>
      <w:pPr>
        <w:pStyle w:val="Normal"/>
        <w:tabs>
          <w:tab w:val="left" w:pos="7230" w:leader="none"/>
        </w:tabs>
        <w:ind w:hanging="0"/>
        <w:rPr/>
      </w:pPr>
      <w:r>
        <w:rPr>
          <w:b/>
          <w:bCs/>
          <w:sz w:val="27"/>
          <w:szCs w:val="27"/>
        </w:rPr>
        <w:t xml:space="preserve">предвыборных агитационных материалов </w:t>
      </w:r>
    </w:p>
    <w:p>
      <w:pPr>
        <w:pStyle w:val="Normal"/>
        <w:tabs>
          <w:tab w:val="left" w:pos="7230" w:leader="none"/>
        </w:tabs>
        <w:ind w:hanging="0"/>
        <w:rPr/>
      </w:pPr>
      <w:r>
        <w:rPr>
          <w:b/>
          <w:bCs/>
          <w:sz w:val="27"/>
          <w:szCs w:val="27"/>
        </w:rPr>
        <w:t xml:space="preserve">зарегистрированных кандидатов на должность  </w:t>
      </w:r>
    </w:p>
    <w:p>
      <w:pPr>
        <w:pStyle w:val="Normal"/>
        <w:tabs>
          <w:tab w:val="left" w:pos="7230" w:leader="none"/>
        </w:tabs>
        <w:ind w:hanging="0"/>
        <w:rPr/>
      </w:pPr>
      <w:r>
        <w:rPr>
          <w:b/>
          <w:bCs/>
          <w:sz w:val="27"/>
          <w:szCs w:val="27"/>
        </w:rPr>
        <w:t>Президента Российской Федерации</w:t>
      </w:r>
    </w:p>
    <w:p>
      <w:pPr>
        <w:pStyle w:val="Normal"/>
        <w:ind w:hanging="0"/>
        <w:jc w:val="both"/>
        <w:rPr>
          <w:b/>
          <w:b/>
          <w:bCs/>
          <w:sz w:val="27"/>
          <w:szCs w:val="27"/>
        </w:rPr>
      </w:pPr>
      <w:r>
        <w:rPr>
          <w:b/>
          <w:bCs/>
          <w:sz w:val="27"/>
          <w:szCs w:val="27"/>
        </w:rPr>
      </w:r>
    </w:p>
    <w:p>
      <w:pPr>
        <w:pStyle w:val="ConsPlusTitle"/>
        <w:widowControl/>
        <w:jc w:val="both"/>
        <w:rPr/>
      </w:pPr>
      <w:r>
        <w:rPr>
          <w:b w:val="false"/>
          <w:bCs w:val="false"/>
          <w:sz w:val="27"/>
          <w:szCs w:val="27"/>
        </w:rPr>
        <w:tab/>
      </w:r>
      <w:r>
        <w:rPr>
          <w:b w:val="false"/>
          <w:sz w:val="27"/>
          <w:szCs w:val="27"/>
        </w:rPr>
        <w:t>В соответствии  с</w:t>
      </w:r>
      <w:r>
        <w:rPr>
          <w:rFonts w:ascii="0" w:hAnsi="0"/>
        </w:rPr>
        <w:t xml:space="preserve"> </w:t>
      </w:r>
      <w:r>
        <w:rPr>
          <w:b w:val="false"/>
          <w:bCs w:val="false"/>
          <w:sz w:val="27"/>
          <w:szCs w:val="27"/>
        </w:rPr>
        <w:t>Федеральным законом «О выборах Президента Российской Федерации», Порядком проведения жеребьевок по распределению между зарегистрированными кандидатами, политическими партиями, выдвинувшими зарегистрированных кандидатов,  печатной площади для публикации предвыборных агитационных материалов в государственных и муниципальных периодических печатных изданиях при проведении выборов Президента Российской Федерации, утвержденным постановлением ЦИК России от 01 ноября 2017 г. N 108/902-7, с Постановлением ЦИК России от 27.09.2017 № 104/863-7 «О формах ведения организациями телерадиовещания, редакциями периодических печатных изданий и редакциями сетевых изданий отдельного учета объема и стоимости эфирного времени, печатной площади, услуг по размещению предвыборных агитационных материалов в сетевых изданиях  при проведении выборов Президента Российской Федерации, территориальная избирательная комиссия Бердюжского района</w:t>
      </w:r>
    </w:p>
    <w:p>
      <w:pPr>
        <w:pStyle w:val="ConsPlusTitle"/>
        <w:widowControl/>
        <w:ind w:firstLine="284"/>
        <w:jc w:val="both"/>
        <w:rPr>
          <w:b w:val="false"/>
          <w:b w:val="false"/>
          <w:bCs w:val="false"/>
          <w:sz w:val="27"/>
          <w:szCs w:val="27"/>
        </w:rPr>
      </w:pPr>
      <w:r>
        <w:rPr>
          <w:b w:val="false"/>
          <w:bCs w:val="false"/>
          <w:sz w:val="27"/>
          <w:szCs w:val="27"/>
        </w:rPr>
      </w:r>
    </w:p>
    <w:p>
      <w:pPr>
        <w:pStyle w:val="Normal"/>
        <w:jc w:val="center"/>
        <w:rPr>
          <w:b/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РЕШИЛА:</w:t>
      </w:r>
    </w:p>
    <w:p>
      <w:pPr>
        <w:pStyle w:val="Normal"/>
        <w:tabs>
          <w:tab w:val="left" w:pos="500" w:leader="none"/>
        </w:tabs>
        <w:jc w:val="both"/>
        <w:rPr/>
      </w:pPr>
      <w:r>
        <w:rPr>
          <w:bCs/>
          <w:sz w:val="27"/>
          <w:szCs w:val="27"/>
        </w:rPr>
        <w:tab/>
        <w:tab/>
      </w:r>
      <w:bookmarkStart w:id="0" w:name="__DdeLink__335_277217223"/>
      <w:r>
        <w:rPr>
          <w:bCs/>
          <w:sz w:val="27"/>
          <w:szCs w:val="27"/>
        </w:rPr>
        <w:t xml:space="preserve">Определить дату и время жеребьевки — 13 февраля 2018 года в </w:t>
      </w:r>
      <w:bookmarkEnd w:id="0"/>
      <w:r>
        <w:rPr>
          <w:bCs/>
          <w:sz w:val="27"/>
          <w:szCs w:val="27"/>
        </w:rPr>
        <w:t xml:space="preserve">9.00 часов. Провести жеребьевку по </w:t>
      </w:r>
      <w:bookmarkStart w:id="1" w:name="__DdeLink__271_799054011"/>
      <w:r>
        <w:rPr>
          <w:bCs/>
          <w:sz w:val="27"/>
          <w:szCs w:val="27"/>
        </w:rPr>
        <w:t xml:space="preserve">определению дат и времени выхода в эфир на безвозмездной основе совместных агитационных мероприятий, предвыборных агитационных материалов зарегистрированных кандидатов на должность </w:t>
      </w:r>
      <w:bookmarkEnd w:id="1"/>
      <w:r>
        <w:rPr>
          <w:bCs/>
          <w:sz w:val="27"/>
          <w:szCs w:val="27"/>
        </w:rPr>
        <w:t>Президента Российской Федерации, на каналах региональной государственной организации телерадиовещания Радиоканал «Бердюжские вести», по адресу с. Бердюжье ул. Гнаровской, 9 (редакция газеты «Новая жизнь»).</w:t>
      </w:r>
    </w:p>
    <w:p>
      <w:pPr>
        <w:pStyle w:val="Normal"/>
        <w:tabs>
          <w:tab w:val="left" w:pos="7230" w:leader="none"/>
        </w:tabs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</w:r>
    </w:p>
    <w:p>
      <w:pPr>
        <w:pStyle w:val="Normal"/>
        <w:jc w:val="both"/>
        <w:rPr/>
      </w:pPr>
      <w:r>
        <w:rPr>
          <w:b/>
          <w:sz w:val="27"/>
          <w:szCs w:val="27"/>
        </w:rPr>
        <w:t xml:space="preserve">Председатель ТИК </w:t>
        <w:tab/>
        <w:tab/>
        <w:tab/>
        <w:tab/>
        <w:tab/>
        <w:t xml:space="preserve">                                          С. А. Панов</w:t>
      </w:r>
    </w:p>
    <w:p>
      <w:pPr>
        <w:pStyle w:val="Normal"/>
        <w:jc w:val="both"/>
        <w:rPr>
          <w:b/>
          <w:b/>
          <w:sz w:val="27"/>
          <w:szCs w:val="27"/>
        </w:rPr>
      </w:pPr>
      <w:r>
        <w:rPr>
          <w:b/>
          <w:sz w:val="27"/>
          <w:szCs w:val="27"/>
        </w:rPr>
      </w:r>
    </w:p>
    <w:p>
      <w:pPr>
        <w:pStyle w:val="Normal"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Секретарь ТИК </w:t>
        <w:tab/>
        <w:tab/>
        <w:tab/>
        <w:tab/>
        <w:tab/>
        <w:t xml:space="preserve">                                                    О. А. Сизова</w:t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960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0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embedSystemFonts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d93c69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8">
    <w:name w:val="Heading 8"/>
    <w:basedOn w:val="Normal"/>
    <w:qFormat/>
    <w:rsid w:val="00d93c69"/>
    <w:pPr>
      <w:spacing w:before="240" w:after="60"/>
      <w:outlineLvl w:val="7"/>
    </w:pPr>
    <w:rPr>
      <w:i/>
      <w:i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3">
    <w:name w:val="Заголовок"/>
    <w:basedOn w:val="Normal"/>
    <w:next w:val="Style14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Style18">
    <w:name w:val="Title"/>
    <w:basedOn w:val="Normal"/>
    <w:qFormat/>
    <w:rsid w:val="00d93c69"/>
    <w:pPr>
      <w:jc w:val="center"/>
    </w:pPr>
    <w:rPr>
      <w:b/>
      <w:sz w:val="32"/>
      <w:szCs w:val="20"/>
    </w:rPr>
  </w:style>
  <w:style w:type="paragraph" w:styleId="Style19">
    <w:name w:val="Subtitle"/>
    <w:basedOn w:val="Normal"/>
    <w:qFormat/>
    <w:rsid w:val="00d93c69"/>
    <w:pPr>
      <w:jc w:val="center"/>
    </w:pPr>
    <w:rPr>
      <w:b/>
      <w:sz w:val="40"/>
      <w:szCs w:val="20"/>
    </w:rPr>
  </w:style>
  <w:style w:type="paragraph" w:styleId="Style20" w:customStyle="1">
    <w:name w:val="Знак Знак Знак Знак"/>
    <w:basedOn w:val="Normal"/>
    <w:qFormat/>
    <w:rsid w:val="00d93c69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ConsPlusTitle">
    <w:name w:val="ConsPlusTitle"/>
    <w:qFormat/>
    <w:pPr>
      <w:widowControl w:val="false"/>
      <w:bidi w:val="0"/>
      <w:jc w:val="left"/>
    </w:pPr>
    <w:rPr>
      <w:rFonts w:ascii="Times New Roman" w:hAnsi="Times New Roman" w:eastAsia="Times New Roman" w:cs="Times New Roman"/>
      <w:b/>
      <w:bCs/>
      <w:color w:val="00000A"/>
      <w:sz w:val="28"/>
      <w:szCs w:val="28"/>
      <w:lang w:val="ru-RU" w:eastAsia="ru-RU" w:bidi="ar-SA"/>
    </w:rPr>
  </w:style>
  <w:style w:type="paragraph" w:styleId="ConsPlusNormal">
    <w:name w:val="ConsPlusNormal"/>
    <w:qFormat/>
    <w:pPr>
      <w:widowControl/>
      <w:bidi w:val="0"/>
      <w:jc w:val="left"/>
    </w:pPr>
    <w:rPr>
      <w:rFonts w:ascii="Arial" w:hAnsi="Arial" w:eastAsia="Arial" w:cs="Courier New"/>
      <w:b w:val="false"/>
      <w:i w:val="false"/>
      <w:strike w:val="false"/>
      <w:dstrike w:val="false"/>
      <w:color w:val="00000A"/>
      <w:sz w:val="20"/>
      <w:szCs w:val="24"/>
      <w:u w:val="none"/>
      <w:lang w:val="ru-RU" w:eastAsia="ru-RU" w:bidi="ar-SA"/>
    </w:rPr>
  </w:style>
  <w:style w:type="paragraph" w:styleId="ConsPlusNonformat">
    <w:name w:val="ConsPlusNonformat"/>
    <w:qFormat/>
    <w:pPr>
      <w:widowControl/>
      <w:bidi w:val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00000A"/>
      <w:sz w:val="20"/>
      <w:szCs w:val="24"/>
      <w:u w:val="none"/>
      <w:lang w:val="ru-RU" w:eastAsia="ru-RU" w:bidi="ar-SA"/>
    </w:rPr>
  </w:style>
  <w:style w:type="paragraph" w:styleId="ConsPlusCell">
    <w:name w:val="ConsPlusCell"/>
    <w:qFormat/>
    <w:pPr>
      <w:widowControl/>
      <w:bidi w:val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00000A"/>
      <w:sz w:val="20"/>
      <w:szCs w:val="24"/>
      <w:u w:val="none"/>
      <w:lang w:val="ru-RU" w:eastAsia="ru-RU" w:bidi="ar-SA"/>
    </w:rPr>
  </w:style>
  <w:style w:type="paragraph" w:styleId="ConsPlusDocList">
    <w:name w:val="ConsPlusDocList"/>
    <w:qFormat/>
    <w:pPr>
      <w:widowControl/>
      <w:bidi w:val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00000A"/>
      <w:sz w:val="20"/>
      <w:szCs w:val="24"/>
      <w:u w:val="none"/>
      <w:lang w:val="ru-RU" w:eastAsia="ru-RU" w:bidi="ar-SA"/>
    </w:rPr>
  </w:style>
  <w:style w:type="paragraph" w:styleId="ConsPlusTitlePage">
    <w:name w:val="ConsPlusTitlePage"/>
    <w:qFormat/>
    <w:pPr>
      <w:widowControl/>
      <w:bidi w:val="0"/>
      <w:jc w:val="left"/>
    </w:pPr>
    <w:rPr>
      <w:rFonts w:ascii="Tahoma" w:hAnsi="Tahoma" w:eastAsia="Arial" w:cs="Courier New"/>
      <w:b w:val="false"/>
      <w:i w:val="false"/>
      <w:strike w:val="false"/>
      <w:dstrike w:val="false"/>
      <w:color w:val="00000A"/>
      <w:sz w:val="20"/>
      <w:szCs w:val="24"/>
      <w:u w:val="none"/>
      <w:lang w:val="ru-RU" w:eastAsia="ru-RU" w:bidi="ar-SA"/>
    </w:rPr>
  </w:style>
  <w:style w:type="paragraph" w:styleId="ConsPlusJurTerm">
    <w:name w:val="ConsPlusJurTerm"/>
    <w:qFormat/>
    <w:pPr>
      <w:widowControl/>
      <w:bidi w:val="0"/>
      <w:jc w:val="left"/>
    </w:pPr>
    <w:rPr>
      <w:rFonts w:ascii="Tahoma" w:hAnsi="Tahoma" w:eastAsia="Arial" w:cs="Courier New"/>
      <w:b w:val="false"/>
      <w:i w:val="false"/>
      <w:strike w:val="false"/>
      <w:dstrike w:val="false"/>
      <w:color w:val="00000A"/>
      <w:sz w:val="26"/>
      <w:szCs w:val="24"/>
      <w:u w:val="none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Application>LibreOffice/5.1.4.2$Windows_x86 LibreOffice_project/f99d75f39f1c57ebdd7ffc5f42867c12031db97a</Application>
  <Pages>1</Pages>
  <Words>226</Words>
  <Characters>1676</Characters>
  <CharactersWithSpaces>2028</CharactersWithSpaces>
  <Paragraphs>17</Paragraphs>
  <Company>КонсультантПлюс Версия 4015.00.09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2016-08-10T09:17:00Z</dcterms:created>
  <dc:creator>aaa</dc:creator>
  <dc:description/>
  <dc:language>ru-RU</dc:language>
  <cp:lastModifiedBy/>
  <cp:lastPrinted>2018-03-26T15:20:59Z</cp:lastPrinted>
  <dcterms:modified xsi:type="dcterms:W3CDTF">2018-03-26T15:23:57Z</dcterms:modified>
  <cp:revision>12</cp:revision>
  <dc:subject/>
  <dc:title>Постановление ЦИК России от 25.05.2016 N 8/76-7"О порядках проведения жеребьевок по распределению между политическими партиями, зарегистрировавшими федеральные списки кандидатов, зарегистрированными кандидатами, выдвинутыми по одномандатным избирательным округам, печатной площади для опубликования предвыборных агитационных материалов в общероссийских государственных печатных изданиях, региональных государственных периодических печатных изданиях"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КонсультантПлюс Версия 4015.00.09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