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 Порядку проведения оценки эффективности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реализации муниципальных программ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 критерии указанной оценки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 xml:space="preserve">Оценка эффективности реализации муниципальной программы </w:t>
      </w:r>
      <w:r>
        <w:rPr>
          <w:rFonts w:cs="Times New Roman"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6"/>
          <w:szCs w:val="26"/>
        </w:rPr>
        <w:t xml:space="preserve"> «Поддержка социально ориентированных некоммерческих организаций </w:t>
      </w:r>
      <w:r>
        <w:rPr>
          <w:rFonts w:cs="Times New Roman"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6"/>
          <w:szCs w:val="26"/>
          <w:lang w:val="ru-RU"/>
        </w:rPr>
        <w:t xml:space="preserve">Бердюжского </w:t>
      </w:r>
      <w:r>
        <w:rPr>
          <w:rFonts w:cs="Times New Roman"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6"/>
          <w:szCs w:val="26"/>
        </w:rPr>
        <w:t xml:space="preserve">муниципального </w:t>
      </w:r>
      <w:r>
        <w:rPr>
          <w:rFonts w:cs="Times New Roman"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6"/>
          <w:szCs w:val="26"/>
          <w:lang w:val="ru-RU"/>
        </w:rPr>
        <w:t>района</w:t>
      </w:r>
      <w:r>
        <w:rPr>
          <w:rFonts w:cs="Times New Roman"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6"/>
          <w:szCs w:val="26"/>
        </w:rPr>
        <w:t xml:space="preserve"> </w:t>
      </w:r>
      <w:r>
        <w:rPr>
          <w:rFonts w:cs="Times New Roman"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6"/>
          <w:szCs w:val="26"/>
          <w:lang w:val="ru-RU"/>
        </w:rPr>
        <w:t>на 2016-2018 годы»</w:t>
      </w:r>
    </w:p>
    <w:p>
      <w:pPr>
        <w:pStyle w:val="Normal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Исполнитель Программы: </w:t>
      </w:r>
      <w:r>
        <w:rPr>
          <w:rFonts w:cs="Times New Roman" w:ascii="Times New Roman" w:hAnsi="Times New Roman"/>
          <w:b/>
          <w:sz w:val="24"/>
          <w:szCs w:val="24"/>
        </w:rPr>
        <w:t>А</w:t>
      </w:r>
      <w:r>
        <w:rPr>
          <w:rFonts w:cs="Times New Roman" w:ascii="Times New Roman" w:hAnsi="Times New Roman"/>
          <w:b/>
          <w:sz w:val="24"/>
          <w:szCs w:val="24"/>
        </w:rPr>
        <w:t>дминистраци</w:t>
      </w:r>
      <w:r>
        <w:rPr>
          <w:rFonts w:cs="Times New Roman" w:ascii="Times New Roman" w:hAnsi="Times New Roman"/>
          <w:b/>
          <w:sz w:val="24"/>
          <w:szCs w:val="24"/>
        </w:rPr>
        <w:t>я</w:t>
      </w:r>
      <w:r>
        <w:rPr>
          <w:rFonts w:cs="Times New Roman" w:ascii="Times New Roman" w:hAnsi="Times New Roman"/>
          <w:b/>
          <w:sz w:val="24"/>
          <w:szCs w:val="24"/>
        </w:rPr>
        <w:t xml:space="preserve"> Бердюжского муниципального района </w:t>
      </w:r>
    </w:p>
    <w:tbl>
      <w:tblPr>
        <w:tblStyle w:val="a3"/>
        <w:tblW w:w="9571" w:type="dxa"/>
        <w:jc w:val="left"/>
        <w:tblInd w:w="-5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64"/>
        <w:gridCol w:w="3067"/>
        <w:gridCol w:w="1917"/>
        <w:gridCol w:w="2016"/>
        <w:gridCol w:w="1907"/>
      </w:tblGrid>
      <w:tr>
        <w:trPr/>
        <w:tc>
          <w:tcPr>
            <w:tcW w:w="664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п/п</w:t>
            </w:r>
          </w:p>
        </w:tc>
        <w:tc>
          <w:tcPr>
            <w:tcW w:w="3067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Показатели результативности</w:t>
            </w:r>
          </w:p>
        </w:tc>
        <w:tc>
          <w:tcPr>
            <w:tcW w:w="1917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Фактические объемы финансирования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(суммарно по всем источникам),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тыс. руб.</w:t>
            </w:r>
          </w:p>
        </w:tc>
        <w:tc>
          <w:tcPr>
            <w:tcW w:w="2016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Фактическое значение показателя (индикатора) результативности в натуральном или стоимостном выражении</w:t>
            </w:r>
          </w:p>
        </w:tc>
        <w:tc>
          <w:tcPr>
            <w:tcW w:w="1907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Эффективность реализации целевой программы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(5=4 / 3)</w:t>
            </w:r>
          </w:p>
        </w:tc>
      </w:tr>
      <w:tr>
        <w:trPr/>
        <w:tc>
          <w:tcPr>
            <w:tcW w:w="664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1.</w:t>
            </w:r>
          </w:p>
        </w:tc>
        <w:tc>
          <w:tcPr>
            <w:tcW w:w="3067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2.</w:t>
            </w:r>
          </w:p>
        </w:tc>
        <w:tc>
          <w:tcPr>
            <w:tcW w:w="1917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3.</w:t>
            </w:r>
          </w:p>
        </w:tc>
        <w:tc>
          <w:tcPr>
            <w:tcW w:w="2016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4.</w:t>
            </w:r>
          </w:p>
        </w:tc>
        <w:tc>
          <w:tcPr>
            <w:tcW w:w="1907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5.</w:t>
            </w:r>
          </w:p>
        </w:tc>
      </w:tr>
      <w:tr>
        <w:trPr/>
        <w:tc>
          <w:tcPr>
            <w:tcW w:w="664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067" w:type="dxa"/>
            <w:tcBorders/>
            <w:shd w:fill="auto" w:val="clear"/>
            <w:tcMar>
              <w:left w:w="103" w:type="dxa"/>
            </w:tcMar>
          </w:tcPr>
          <w:p>
            <w:pPr>
              <w:pStyle w:val="Style19"/>
              <w:snapToGrid w:val="false"/>
              <w:spacing w:lineRule="auto" w:line="240" w:before="0" w:after="0"/>
              <w:ind w:left="30" w:right="30"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Доля социально ориентированных некоммерческих объединений, о которых представлена информация в рубрике «общественные объединения» информационного сайта  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администрации Бердюжского муниципального района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(%).</w:t>
            </w:r>
          </w:p>
        </w:tc>
        <w:tc>
          <w:tcPr>
            <w:tcW w:w="1917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</w:r>
          </w:p>
        </w:tc>
        <w:tc>
          <w:tcPr>
            <w:tcW w:w="2016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</w:r>
          </w:p>
        </w:tc>
        <w:tc>
          <w:tcPr>
            <w:tcW w:w="1907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100,00</w:t>
            </w:r>
          </w:p>
        </w:tc>
      </w:tr>
      <w:tr>
        <w:trPr/>
        <w:tc>
          <w:tcPr>
            <w:tcW w:w="664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2.</w:t>
            </w:r>
          </w:p>
        </w:tc>
        <w:tc>
          <w:tcPr>
            <w:tcW w:w="3067" w:type="dxa"/>
            <w:tcBorders/>
            <w:shd w:fill="auto" w:val="clear"/>
            <w:tcMar>
              <w:left w:w="103" w:type="dxa"/>
            </w:tcMar>
          </w:tcPr>
          <w:p>
            <w:pPr>
              <w:pStyle w:val="Style19"/>
              <w:spacing w:lineRule="auto" w:line="240" w:before="0" w:after="0"/>
              <w:ind w:left="30" w:right="30"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публикаций (статей) о социально ориентированных некоммерческих организациях в газете «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Новая жизнь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» (публикации).</w:t>
            </w:r>
          </w:p>
        </w:tc>
        <w:tc>
          <w:tcPr>
            <w:tcW w:w="1917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2016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1907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100,0</w:t>
            </w:r>
          </w:p>
        </w:tc>
      </w:tr>
      <w:tr>
        <w:trPr/>
        <w:tc>
          <w:tcPr>
            <w:tcW w:w="664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3.</w:t>
            </w:r>
          </w:p>
        </w:tc>
        <w:tc>
          <w:tcPr>
            <w:tcW w:w="3067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Style19"/>
              <w:spacing w:lineRule="auto" w:line="240" w:before="0" w:after="0"/>
              <w:ind w:left="30" w:right="3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видеосюжетов о социально ориентированных некоммерческих организациях в телепрограммах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Голышмановского телевидения ЛТР «Вектор»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(видеосюжеты).</w:t>
            </w:r>
          </w:p>
        </w:tc>
        <w:tc>
          <w:tcPr>
            <w:tcW w:w="1917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2016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1907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100,0</w:t>
            </w:r>
          </w:p>
        </w:tc>
      </w:tr>
      <w:tr>
        <w:trPr/>
        <w:tc>
          <w:tcPr>
            <w:tcW w:w="664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4.</w:t>
            </w:r>
          </w:p>
        </w:tc>
        <w:tc>
          <w:tcPr>
            <w:tcW w:w="3067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Style19"/>
              <w:snapToGrid w:val="false"/>
              <w:spacing w:lineRule="auto" w:line="240" w:before="0" w:after="0"/>
              <w:ind w:left="30" w:right="30"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обновлений информации по ведению реестра социально ориентированных некоммерческих организаций, которым оказывается поддержка (обновления информации)</w:t>
            </w:r>
          </w:p>
        </w:tc>
        <w:tc>
          <w:tcPr>
            <w:tcW w:w="1917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2016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1907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100,0</w:t>
            </w:r>
          </w:p>
        </w:tc>
      </w:tr>
      <w:tr>
        <w:trPr/>
        <w:tc>
          <w:tcPr>
            <w:tcW w:w="664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5.</w:t>
            </w:r>
          </w:p>
        </w:tc>
        <w:tc>
          <w:tcPr>
            <w:tcW w:w="3067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Style19"/>
              <w:snapToGrid w:val="false"/>
              <w:spacing w:lineRule="auto" w:line="240" w:before="0" w:after="0"/>
              <w:ind w:left="30" w:right="3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Количество социально ориентированных проектов некоммерческих организаций, принявших участие в конкурсе на получение субсидий из муниципального бюджета.</w:t>
            </w:r>
          </w:p>
        </w:tc>
        <w:tc>
          <w:tcPr>
            <w:tcW w:w="1917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1000,0</w:t>
            </w:r>
          </w:p>
        </w:tc>
        <w:tc>
          <w:tcPr>
            <w:tcW w:w="2016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1/1000,0</w:t>
            </w:r>
          </w:p>
        </w:tc>
        <w:tc>
          <w:tcPr>
            <w:tcW w:w="1907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100,0</w:t>
            </w:r>
          </w:p>
        </w:tc>
      </w:tr>
      <w:tr>
        <w:trPr/>
        <w:tc>
          <w:tcPr>
            <w:tcW w:w="664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6.</w:t>
            </w:r>
          </w:p>
        </w:tc>
        <w:tc>
          <w:tcPr>
            <w:tcW w:w="3067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Style19"/>
              <w:snapToGrid w:val="false"/>
              <w:spacing w:lineRule="auto" w:line="240" w:before="0" w:after="0"/>
              <w:ind w:left="30" w:right="3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проведённых заседаний Совета общественных и религиозных объединений при Главе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(заседания).</w:t>
            </w:r>
          </w:p>
        </w:tc>
        <w:tc>
          <w:tcPr>
            <w:tcW w:w="1917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2016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1907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64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7.</w:t>
            </w:r>
          </w:p>
        </w:tc>
        <w:tc>
          <w:tcPr>
            <w:tcW w:w="3067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Style19"/>
              <w:snapToGrid w:val="false"/>
              <w:spacing w:lineRule="auto" w:line="240" w:before="0" w:after="0"/>
              <w:ind w:left="30" w:right="3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проведённых социально ориентированными некоммерческими организациями публичных мероприятий, которым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администрацией Бердюжского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оказано содействие (%).</w:t>
            </w:r>
          </w:p>
        </w:tc>
        <w:tc>
          <w:tcPr>
            <w:tcW w:w="1917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2016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1907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100,0</w:t>
            </w:r>
          </w:p>
        </w:tc>
      </w:tr>
      <w:tr>
        <w:trPr/>
        <w:tc>
          <w:tcPr>
            <w:tcW w:w="664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</w:r>
          </w:p>
        </w:tc>
        <w:tc>
          <w:tcPr>
            <w:tcW w:w="3067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</w:r>
          </w:p>
        </w:tc>
        <w:tc>
          <w:tcPr>
            <w:tcW w:w="1917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</w:r>
          </w:p>
        </w:tc>
        <w:tc>
          <w:tcPr>
            <w:tcW w:w="2016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000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907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100,0</w:t>
            </w:r>
          </w:p>
        </w:tc>
      </w:tr>
    </w:tbl>
    <w:p>
      <w:pPr>
        <w:pStyle w:val="Normal"/>
        <w:spacing w:before="0" w:after="200"/>
        <w:jc w:val="center"/>
        <w:rPr/>
      </w:pPr>
      <w:r>
        <w:rPr/>
      </w:r>
    </w:p>
    <w:p>
      <w:pPr>
        <w:pStyle w:val="Normal"/>
        <w:spacing w:before="0" w:after="200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00000A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Style19">
    <w:name w:val="Содержимое таблицы"/>
    <w:basedOn w:val="Normal"/>
    <w:qFormat/>
    <w:pPr>
      <w:suppressLineNumbers/>
    </w:pPr>
    <w:rPr/>
  </w:style>
  <w:style w:type="paragraph" w:styleId="Style20">
    <w:name w:val="Заголовок таблицы"/>
    <w:basedOn w:val="Style19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5161b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Application>LibreOffice/5.2.3.3$Windows_x86 LibreOffice_project/d54a8868f08a7b39642414cf2c8ef2f228f780cf</Application>
  <Pages>2</Pages>
  <Words>194</Words>
  <Characters>1615</Characters>
  <CharactersWithSpaces>1768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2014-02-07T04:41:00Z</dcterms:created>
  <dc:creator>Светлана</dc:creator>
  <dc:description/>
  <dc:language>ru-RU</dc:language>
  <cp:lastModifiedBy/>
  <dcterms:modified xsi:type="dcterms:W3CDTF">2017-02-17T10:32:20Z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